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黑体"/>
          <w:b w:val="0"/>
          <w:bCs/>
          <w:sz w:val="32"/>
          <w:szCs w:val="32"/>
          <w:lang w:val="en-US" w:eastAsia="zh-CN"/>
        </w:rPr>
      </w:pPr>
      <w:bookmarkStart w:id="0" w:name="_GoBack"/>
      <w:bookmarkEnd w:id="0"/>
      <w:r>
        <w:rPr>
          <w:rFonts w:hint="eastAsia" w:ascii="黑体" w:eastAsia="黑体" w:cs="黑体"/>
          <w:b w:val="0"/>
          <w:bCs/>
          <w:sz w:val="32"/>
          <w:szCs w:val="32"/>
        </w:rPr>
        <w:t>附件</w:t>
      </w:r>
      <w:r>
        <w:rPr>
          <w:rFonts w:hint="eastAsia" w:ascii="黑体" w:eastAsia="黑体" w:cs="黑体"/>
          <w:b w:val="0"/>
          <w:bCs/>
          <w:sz w:val="32"/>
          <w:szCs w:val="32"/>
          <w:lang w:val="en-US" w:eastAsia="zh-CN"/>
        </w:rPr>
        <w:t>3</w:t>
      </w:r>
    </w:p>
    <w:p>
      <w:pPr>
        <w:jc w:val="center"/>
        <w:rPr>
          <w:rFonts w:eastAsia="方正小标宋简体"/>
          <w:color w:val="000000"/>
          <w:sz w:val="44"/>
          <w:szCs w:val="44"/>
          <w:shd w:val="clear" w:color="000000" w:fill="FFFFFF"/>
        </w:rPr>
      </w:pPr>
      <w:r>
        <w:rPr>
          <w:rFonts w:hint="eastAsia" w:ascii="Times New Roman" w:hAnsi="Times New Roman" w:eastAsia="方正小标宋简体" w:cs="Times New Roman"/>
          <w:i w:val="0"/>
          <w:iCs w:val="0"/>
          <w:color w:val="000000"/>
          <w:spacing w:val="0"/>
          <w:sz w:val="44"/>
          <w:szCs w:val="44"/>
          <w:shd w:val="clear" w:color="000000" w:fill="FFFFFF"/>
          <w:lang w:val="en-US" w:eastAsia="zh-CN"/>
        </w:rPr>
        <w:t>评分</w:t>
      </w:r>
      <w:r>
        <w:rPr>
          <w:rFonts w:ascii="Times New Roman" w:hAnsi="Times New Roman" w:eastAsia="方正小标宋简体" w:cs="Times New Roman"/>
          <w:i w:val="0"/>
          <w:iCs w:val="0"/>
          <w:color w:val="000000"/>
          <w:spacing w:val="0"/>
          <w:sz w:val="44"/>
          <w:szCs w:val="44"/>
          <w:shd w:val="clear" w:color="000000" w:fill="FFFFFF"/>
          <w:lang w:val="en-US" w:eastAsia="zh-CN"/>
        </w:rPr>
        <w:t>标准</w:t>
      </w:r>
    </w:p>
    <w:tbl>
      <w:tblPr>
        <w:tblStyle w:val="10"/>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4"/>
        <w:gridCol w:w="750"/>
        <w:gridCol w:w="776"/>
        <w:gridCol w:w="6437"/>
        <w:gridCol w:w="98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exact"/>
          <w:jc w:val="center"/>
        </w:trPr>
        <w:tc>
          <w:tcPr>
            <w:tcW w:w="484" w:type="dxa"/>
            <w:tcBorders>
              <w:top w:val="single" w:color="auto" w:sz="4" w:space="0"/>
              <w:left w:val="single" w:color="auto" w:sz="4" w:space="0"/>
              <w:bottom w:val="single" w:color="auto" w:sz="4" w:space="0"/>
              <w:right w:val="single" w:color="auto" w:sz="4" w:space="0"/>
            </w:tcBorders>
            <w:noWrap/>
            <w:vAlign w:val="center"/>
          </w:tcPr>
          <w:p>
            <w:pPr>
              <w:pStyle w:val="6"/>
              <w:jc w:val="center"/>
              <w:rPr>
                <w:rFonts w:hint="eastAsia" w:eastAsia="宋体"/>
                <w:b/>
                <w:bCs/>
                <w:sz w:val="20"/>
                <w:szCs w:val="20"/>
                <w:lang w:eastAsia="zh-CN"/>
              </w:rPr>
            </w:pPr>
            <w:r>
              <w:rPr>
                <w:rFonts w:hint="eastAsia"/>
                <w:b/>
                <w:bCs/>
                <w:sz w:val="20"/>
                <w:szCs w:val="20"/>
                <w:lang w:eastAsia="zh-CN"/>
              </w:rPr>
              <w:t>序号</w:t>
            </w:r>
          </w:p>
        </w:tc>
        <w:tc>
          <w:tcPr>
            <w:tcW w:w="750" w:type="dxa"/>
            <w:tcBorders>
              <w:top w:val="single" w:color="auto" w:sz="4" w:space="0"/>
              <w:left w:val="single" w:color="auto" w:sz="4" w:space="0"/>
              <w:bottom w:val="single" w:color="auto" w:sz="4" w:space="0"/>
              <w:right w:val="single" w:color="auto" w:sz="4" w:space="0"/>
            </w:tcBorders>
            <w:noWrap/>
            <w:vAlign w:val="center"/>
          </w:tcPr>
          <w:p>
            <w:pPr>
              <w:pStyle w:val="6"/>
              <w:bidi w:val="0"/>
              <w:jc w:val="center"/>
              <w:rPr>
                <w:rFonts w:hint="eastAsia" w:ascii="宋体" w:eastAsia="宋体" w:cs="宋体"/>
                <w:b/>
                <w:bCs/>
                <w:color w:val="auto"/>
                <w:kern w:val="0"/>
                <w:sz w:val="20"/>
                <w:szCs w:val="20"/>
                <w:lang w:eastAsia="zh-CN"/>
              </w:rPr>
            </w:pPr>
            <w:r>
              <w:rPr>
                <w:rFonts w:hint="eastAsia"/>
                <w:b/>
                <w:bCs/>
                <w:sz w:val="20"/>
                <w:szCs w:val="20"/>
                <w:lang w:eastAsia="zh-CN"/>
              </w:rPr>
              <w:t>一级评审项</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b/>
                <w:bCs/>
                <w:color w:val="auto"/>
                <w:kern w:val="0"/>
                <w:sz w:val="20"/>
                <w:lang w:val="en-US" w:eastAsia="zh-CN"/>
              </w:rPr>
            </w:pPr>
            <w:r>
              <w:rPr>
                <w:rFonts w:hint="eastAsia" w:ascii="宋体" w:eastAsia="宋体" w:cs="宋体"/>
                <w:b/>
                <w:bCs/>
                <w:color w:val="auto"/>
                <w:kern w:val="0"/>
                <w:sz w:val="20"/>
                <w:lang w:val="en-US" w:eastAsia="zh-CN"/>
              </w:rPr>
              <w:t>二级评审项</w:t>
            </w:r>
          </w:p>
        </w:tc>
        <w:tc>
          <w:tcPr>
            <w:tcW w:w="643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b/>
                <w:bCs/>
                <w:color w:val="auto"/>
                <w:kern w:val="0"/>
                <w:sz w:val="20"/>
                <w:lang w:eastAsia="zh-CN"/>
              </w:rPr>
            </w:pPr>
            <w:r>
              <w:rPr>
                <w:rFonts w:hint="eastAsia" w:ascii="宋体" w:cs="宋体"/>
                <w:b/>
                <w:bCs/>
                <w:color w:val="auto"/>
                <w:kern w:val="0"/>
                <w:sz w:val="20"/>
                <w:lang w:eastAsia="zh-CN"/>
              </w:rPr>
              <w:t>详细要求</w:t>
            </w:r>
          </w:p>
        </w:tc>
        <w:tc>
          <w:tcPr>
            <w:tcW w:w="98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b/>
                <w:bCs/>
                <w:color w:val="auto"/>
                <w:kern w:val="0"/>
                <w:sz w:val="20"/>
                <w:lang w:eastAsia="zh-CN"/>
              </w:rPr>
            </w:pPr>
            <w:r>
              <w:rPr>
                <w:rFonts w:hint="eastAsia" w:ascii="宋体" w:cs="宋体"/>
                <w:b/>
                <w:bCs/>
                <w:color w:val="auto"/>
                <w:kern w:val="0"/>
                <w:sz w:val="20"/>
                <w:lang w:eastAsia="zh-CN"/>
              </w:rPr>
              <w:t>分值</w:t>
            </w:r>
          </w:p>
        </w:tc>
        <w:tc>
          <w:tcPr>
            <w:tcW w:w="785" w:type="dxa"/>
            <w:tcBorders>
              <w:top w:val="single" w:color="auto" w:sz="4" w:space="0"/>
              <w:left w:val="single" w:color="auto" w:sz="4" w:space="0"/>
              <w:bottom w:val="single" w:color="auto" w:sz="4" w:space="0"/>
              <w:right w:val="single" w:color="auto" w:sz="4" w:space="0"/>
            </w:tcBorders>
            <w:noWrap/>
            <w:vAlign w:val="center"/>
          </w:tcPr>
          <w:p>
            <w:pPr>
              <w:pStyle w:val="6"/>
              <w:bidi w:val="0"/>
              <w:jc w:val="center"/>
              <w:rPr>
                <w:rFonts w:hint="eastAsia" w:ascii="宋体" w:eastAsia="宋体" w:cs="宋体"/>
                <w:b/>
                <w:bCs/>
                <w:color w:val="auto"/>
                <w:kern w:val="0"/>
                <w:sz w:val="20"/>
                <w:szCs w:val="20"/>
                <w:lang w:eastAsia="zh-CN"/>
              </w:rPr>
            </w:pPr>
            <w:r>
              <w:rPr>
                <w:rFonts w:hint="eastAsia"/>
                <w:b/>
                <w:bCs/>
                <w:sz w:val="20"/>
                <w:szCs w:val="20"/>
                <w:lang w:eastAsia="zh-CN"/>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2" w:hRule="exact"/>
          <w:jc w:val="center"/>
        </w:trPr>
        <w:tc>
          <w:tcPr>
            <w:tcW w:w="4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color w:val="auto"/>
                <w:kern w:val="0"/>
                <w:sz w:val="20"/>
              </w:rPr>
            </w:pPr>
            <w:r>
              <w:rPr>
                <w:rFonts w:hint="eastAsia" w:ascii="宋体" w:eastAsia="宋体" w:cs="宋体"/>
                <w:color w:val="auto"/>
                <w:kern w:val="0"/>
                <w:sz w:val="20"/>
              </w:rPr>
              <w:t>1</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cs="宋体"/>
                <w:color w:val="auto"/>
                <w:kern w:val="0"/>
                <w:sz w:val="20"/>
                <w:lang w:eastAsia="zh-CN"/>
              </w:rPr>
              <w:t>详细评审</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价</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格</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分</w:t>
            </w:r>
          </w:p>
        </w:tc>
        <w:tc>
          <w:tcPr>
            <w:tcW w:w="6437" w:type="dxa"/>
            <w:tcBorders>
              <w:top w:val="single" w:color="auto" w:sz="4" w:space="0"/>
              <w:left w:val="single" w:color="auto" w:sz="4" w:space="0"/>
              <w:bottom w:val="single" w:color="auto" w:sz="4" w:space="0"/>
              <w:right w:val="single" w:color="auto" w:sz="4" w:space="0"/>
            </w:tcBorders>
            <w:noWrap/>
            <w:vAlign w:val="center"/>
          </w:tcPr>
          <w:p>
            <w:pPr>
              <w:rPr>
                <w:rFonts w:hint="eastAsia" w:cs="宋体"/>
                <w:sz w:val="20"/>
              </w:rPr>
            </w:pPr>
            <w:r>
              <w:rPr>
                <w:rFonts w:hint="eastAsia" w:cs="宋体"/>
                <w:sz w:val="20"/>
              </w:rPr>
              <w:t>满足磋商文件要求且最后报价最低的供应商的价格为商基准价，其价格分为满分。</w:t>
            </w:r>
            <w:r>
              <w:rPr>
                <w:rFonts w:hint="eastAsia" w:cs="宋体"/>
                <w:sz w:val="20"/>
              </w:rPr>
              <w:br w:type="textWrapping"/>
            </w:r>
            <w:r>
              <w:rPr>
                <w:rFonts w:hint="eastAsia" w:cs="宋体"/>
                <w:sz w:val="20"/>
              </w:rPr>
              <w:t>磋商报价得分=（磋商基准价/最后磋商报价）×10（四舍五入取至小数点后两位）。</w:t>
            </w:r>
          </w:p>
          <w:p>
            <w:pPr>
              <w:rPr>
                <w:rFonts w:hint="eastAsia" w:cs="宋体"/>
                <w:sz w:val="20"/>
              </w:rPr>
            </w:pPr>
            <w:r>
              <w:rPr>
                <w:rFonts w:hint="eastAsia" w:cs="宋体"/>
                <w:sz w:val="20"/>
              </w:rPr>
              <w:t>注：1.基准价和报价均按服务内容的报价合计计算。</w:t>
            </w:r>
          </w:p>
          <w:p>
            <w:pPr>
              <w:rPr>
                <w:rFonts w:hint="eastAsia" w:cs="宋体"/>
                <w:sz w:val="20"/>
              </w:rPr>
            </w:pPr>
            <w:r>
              <w:rPr>
                <w:rFonts w:hint="eastAsia" w:cs="宋体"/>
                <w:sz w:val="20"/>
              </w:rPr>
              <w:t>2.项目评审过程中，不得去掉最后报价中的最高报价和最低报价。</w:t>
            </w:r>
          </w:p>
          <w:p>
            <w:pPr>
              <w:rPr>
                <w:sz w:val="20"/>
              </w:rPr>
            </w:pPr>
            <w:r>
              <w:rPr>
                <w:rFonts w:hint="eastAsia" w:cs="宋体"/>
                <w:sz w:val="20"/>
              </w:rPr>
              <w:t>3.本项目为专门面向中小企业采购，不再执行价格评审优惠政</w:t>
            </w:r>
            <w:r>
              <w:rPr>
                <w:rFonts w:hint="eastAsia"/>
                <w:sz w:val="20"/>
              </w:rPr>
              <w:t>策。</w:t>
            </w: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color w:val="auto"/>
                <w:kern w:val="0"/>
                <w:sz w:val="20"/>
                <w:lang w:val="en-US" w:eastAsia="zh-CN" w:bidi="ar-SA"/>
              </w:rPr>
            </w:pPr>
            <w:r>
              <w:rPr>
                <w:rFonts w:hint="eastAsia" w:ascii="宋体" w:cs="宋体"/>
                <w:color w:val="auto"/>
                <w:kern w:val="0"/>
                <w:sz w:val="20"/>
                <w:lang w:val="en-US" w:eastAsia="zh-CN"/>
              </w:rPr>
              <w:t>15.0</w:t>
            </w:r>
          </w:p>
        </w:tc>
        <w:tc>
          <w:tcPr>
            <w:tcW w:w="785" w:type="dxa"/>
            <w:tcBorders>
              <w:top w:val="single" w:color="auto" w:sz="4" w:space="0"/>
              <w:left w:val="single" w:color="auto" w:sz="4" w:space="0"/>
              <w:bottom w:val="single" w:color="auto" w:sz="4" w:space="0"/>
              <w:right w:val="single" w:color="auto" w:sz="4" w:space="0"/>
            </w:tcBorders>
            <w:noWrap/>
            <w:vAlign w:val="center"/>
          </w:tcPr>
          <w:p>
            <w:pPr>
              <w:pStyle w:val="6"/>
              <w:bidi w:val="0"/>
              <w:jc w:val="center"/>
              <w:rPr>
                <w:rFonts w:hint="eastAsia" w:ascii="宋体" w:eastAsia="宋体" w:cs="宋体"/>
                <w:color w:val="auto"/>
                <w:kern w:val="0"/>
                <w:sz w:val="20"/>
                <w:szCs w:val="20"/>
                <w:lang w:eastAsia="zh-CN"/>
              </w:rPr>
            </w:pPr>
            <w:r>
              <w:rPr>
                <w:rFonts w:hint="eastAsia"/>
                <w:sz w:val="20"/>
                <w:szCs w:val="20"/>
                <w:lang w:eastAsia="zh-CN"/>
              </w:rPr>
              <w:t>共同类评审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4" w:hRule="atLeast"/>
          <w:jc w:val="center"/>
        </w:trPr>
        <w:tc>
          <w:tcPr>
            <w:tcW w:w="4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color w:val="auto"/>
                <w:kern w:val="0"/>
                <w:sz w:val="20"/>
              </w:rPr>
            </w:pPr>
            <w:r>
              <w:rPr>
                <w:rFonts w:hint="eastAsia" w:ascii="宋体" w:eastAsia="宋体" w:cs="宋体"/>
                <w:color w:val="auto"/>
                <w:kern w:val="0"/>
                <w:sz w:val="20"/>
              </w:rPr>
              <w:t>2</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cs="宋体"/>
                <w:color w:val="auto"/>
                <w:kern w:val="0"/>
                <w:sz w:val="20"/>
                <w:lang w:val="en-US" w:eastAsia="zh-CN"/>
              </w:rPr>
              <w:t>详细评审</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项</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目</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实</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施</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方</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案</w:t>
            </w:r>
          </w:p>
        </w:tc>
        <w:tc>
          <w:tcPr>
            <w:tcW w:w="6437" w:type="dxa"/>
            <w:tcBorders>
              <w:top w:val="single" w:color="auto" w:sz="4" w:space="0"/>
              <w:left w:val="single" w:color="auto" w:sz="4" w:space="0"/>
              <w:bottom w:val="single" w:color="auto" w:sz="4" w:space="0"/>
              <w:right w:val="single" w:color="auto" w:sz="4" w:space="0"/>
            </w:tcBorders>
            <w:noWrap/>
            <w:vAlign w:val="center"/>
          </w:tcPr>
          <w:p>
            <w:pPr>
              <w:bidi w:val="0"/>
              <w:rPr>
                <w:rFonts w:hint="eastAsia"/>
                <w:sz w:val="20"/>
                <w:lang w:val="en-US" w:eastAsia="zh-CN"/>
              </w:rPr>
            </w:pPr>
            <w:r>
              <w:rPr>
                <w:rFonts w:hint="eastAsia"/>
                <w:sz w:val="20"/>
                <w:lang w:val="en-US" w:eastAsia="zh-CN"/>
              </w:rPr>
              <w:t>根据供应商提供的项目实施方案进行综合评审，包括但不限于：</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,1)</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档案交接、</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,2)</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档案整理、</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,3)</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档案扫描、</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,4)</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档案分类、</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,5)</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档案装订等方面的内容，完全满足以上内容的得20分，每缺少一项内容扣4分，每有一项内容不满足或内容不完整扣2分，扣完为止。</w:t>
            </w:r>
          </w:p>
          <w:p>
            <w:pPr>
              <w:bidi w:val="0"/>
              <w:rPr>
                <w:sz w:val="20"/>
                <w:lang w:val="en-US" w:eastAsia="zh-CN"/>
              </w:rPr>
            </w:pPr>
            <w:r>
              <w:rPr>
                <w:rFonts w:hint="eastAsia"/>
                <w:sz w:val="20"/>
                <w:lang w:val="en-US" w:eastAsia="zh-CN"/>
              </w:rPr>
              <w:t xml:space="preserve"> 注：（1）完全满足以上内容是指：方案包含但不限于上诉内容的文字、图片、表格等形式详细呈现方案内容，方案内容切合实际、符合行业政策、满足本项目要求。</w:t>
            </w:r>
          </w:p>
          <w:p>
            <w:pPr>
              <w:bidi w:val="0"/>
              <w:ind w:left="0"/>
              <w:rPr>
                <w:rFonts w:hint="eastAsia" w:ascii="宋体" w:eastAsia="宋体" w:cs="宋体"/>
                <w:color w:val="auto"/>
                <w:kern w:val="0"/>
                <w:sz w:val="20"/>
                <w:lang w:val="en-US" w:eastAsia="zh-CN"/>
              </w:rPr>
            </w:pPr>
            <w:r>
              <w:rPr>
                <w:rFonts w:hint="eastAsia"/>
                <w:sz w:val="20"/>
                <w:lang w:val="en-US" w:eastAsia="zh-CN"/>
              </w:rPr>
              <w:t>（2）不满足或内容不完整是指：方案内容不切合行业实际、不符合行业政策；或方案内容生搬硬造，与实际情况不符，存在偏差；或方案内容过于简略；或存在与项目无关的文字内容；或内容不适用项目实际情况；或内容逻辑漏洞或原理错误。</w:t>
            </w: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color w:val="auto"/>
                <w:kern w:val="0"/>
                <w:sz w:val="20"/>
                <w:lang w:val="en-US" w:eastAsia="zh-CN"/>
              </w:rPr>
            </w:pPr>
            <w:r>
              <w:rPr>
                <w:rFonts w:hint="eastAsia" w:ascii="宋体" w:cs="宋体"/>
                <w:color w:val="auto"/>
                <w:kern w:val="0"/>
                <w:sz w:val="20"/>
                <w:lang w:val="en-US" w:eastAsia="zh-CN"/>
              </w:rPr>
              <w:t>20.0</w:t>
            </w:r>
          </w:p>
        </w:tc>
        <w:tc>
          <w:tcPr>
            <w:tcW w:w="7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rPr>
            </w:pPr>
            <w:r>
              <w:rPr>
                <w:rFonts w:hint="eastAsia"/>
                <w:sz w:val="20"/>
                <w:lang w:eastAsia="zh-CN"/>
              </w:rPr>
              <w:t>共同类评审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8" w:hRule="atLeast"/>
          <w:jc w:val="center"/>
        </w:trPr>
        <w:tc>
          <w:tcPr>
            <w:tcW w:w="4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color w:val="auto"/>
                <w:kern w:val="0"/>
                <w:sz w:val="20"/>
                <w:lang w:eastAsia="zh-CN"/>
              </w:rPr>
            </w:pPr>
            <w:r>
              <w:rPr>
                <w:rFonts w:hint="eastAsia" w:ascii="宋体" w:eastAsia="宋体" w:cs="宋体"/>
                <w:color w:val="auto"/>
                <w:kern w:val="0"/>
                <w:sz w:val="20"/>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eastAsia="zh-CN"/>
              </w:rPr>
              <w:t>详细评审</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质</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量</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控</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制</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方</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案</w:t>
            </w:r>
          </w:p>
        </w:tc>
        <w:tc>
          <w:tcPr>
            <w:tcW w:w="6437" w:type="dxa"/>
            <w:tcBorders>
              <w:top w:val="single" w:color="auto" w:sz="4" w:space="0"/>
              <w:left w:val="single" w:color="auto" w:sz="4" w:space="0"/>
              <w:bottom w:val="single" w:color="auto" w:sz="4" w:space="0"/>
              <w:right w:val="single" w:color="auto" w:sz="4" w:space="0"/>
            </w:tcBorders>
            <w:noWrap/>
            <w:vAlign w:val="center"/>
          </w:tcPr>
          <w:p>
            <w:pPr>
              <w:bidi w:val="0"/>
              <w:ind w:left="0"/>
              <w:rPr>
                <w:rFonts w:hint="eastAsia"/>
                <w:sz w:val="20"/>
                <w:lang w:val="en-US" w:eastAsia="zh-CN"/>
              </w:rPr>
            </w:pPr>
            <w:r>
              <w:rPr>
                <w:rFonts w:hint="eastAsia"/>
                <w:sz w:val="20"/>
                <w:lang w:val="en-US" w:eastAsia="zh-CN"/>
              </w:rPr>
              <w:t>根据供应商提供的质量控制方案进行综合评审，包括但不限于：</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,1)</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质量检查、</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,2)</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质量控制、</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,3)</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流程管理等方面内容，完全满足以上内容的得</w:t>
            </w:r>
            <w:r>
              <w:rPr>
                <w:sz w:val="20"/>
                <w:lang w:val="en-US" w:eastAsia="zh-CN"/>
              </w:rPr>
              <w:t>12</w:t>
            </w:r>
            <w:r>
              <w:rPr>
                <w:rFonts w:hint="eastAsia"/>
                <w:sz w:val="20"/>
                <w:lang w:val="en-US" w:eastAsia="zh-CN"/>
              </w:rPr>
              <w:t>分，每缺少一项内容扣4分，每有一项内容不满足或内容不完整扣2分，扣完为止。</w:t>
            </w:r>
          </w:p>
          <w:p>
            <w:pPr>
              <w:bidi w:val="0"/>
              <w:ind w:left="0"/>
              <w:rPr>
                <w:sz w:val="20"/>
                <w:lang w:val="en-US" w:eastAsia="zh-CN"/>
              </w:rPr>
            </w:pPr>
            <w:r>
              <w:rPr>
                <w:rFonts w:hint="eastAsia"/>
                <w:sz w:val="20"/>
                <w:lang w:val="en-US" w:eastAsia="zh-CN"/>
              </w:rPr>
              <w:t>注：（1）完全满足以上内容是指：方案包含但不限于上诉内容的文字、图片、表格等形式详细呈现方案内容，方案内容切合行业实际，符合行业政策，满足项目要求。</w:t>
            </w:r>
          </w:p>
          <w:p>
            <w:pPr>
              <w:bidi w:val="0"/>
              <w:ind w:left="0"/>
              <w:rPr>
                <w:rFonts w:hint="eastAsia" w:ascii="宋体" w:eastAsia="宋体" w:cs="宋体"/>
                <w:color w:val="auto"/>
                <w:kern w:val="0"/>
                <w:sz w:val="20"/>
              </w:rPr>
            </w:pPr>
            <w:r>
              <w:rPr>
                <w:rFonts w:hint="eastAsia"/>
                <w:sz w:val="20"/>
                <w:lang w:val="en-US" w:eastAsia="zh-CN"/>
              </w:rPr>
              <w:t>（2）不满足或内容不完整是指：方案内容不切合行业实际、不符合行业政策；或方案内容生搬硬造，与实际情况不符，存在偏差；或方案内容过于简略；或存在与项目无关的文字内容；或内容不适用项目实际情况；或内容逻辑漏洞或原理错误。</w:t>
            </w: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color w:val="auto"/>
                <w:kern w:val="0"/>
                <w:sz w:val="20"/>
                <w:lang w:val="en-US" w:eastAsia="zh-CN"/>
              </w:rPr>
            </w:pPr>
            <w:r>
              <w:rPr>
                <w:rFonts w:hint="eastAsia" w:ascii="宋体" w:eastAsia="宋体" w:cs="宋体"/>
                <w:color w:val="auto"/>
                <w:kern w:val="0"/>
                <w:sz w:val="20"/>
                <w:lang w:val="en-US" w:eastAsia="zh-CN"/>
              </w:rPr>
              <w:t>12.0</w:t>
            </w:r>
          </w:p>
        </w:tc>
        <w:tc>
          <w:tcPr>
            <w:tcW w:w="7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rPr>
            </w:pPr>
            <w:r>
              <w:rPr>
                <w:rFonts w:hint="eastAsia"/>
                <w:sz w:val="20"/>
                <w:lang w:eastAsia="zh-CN"/>
              </w:rPr>
              <w:t>共同类评审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4" w:hRule="atLeast"/>
          <w:jc w:val="center"/>
        </w:trPr>
        <w:tc>
          <w:tcPr>
            <w:tcW w:w="4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color w:val="auto"/>
                <w:kern w:val="0"/>
                <w:sz w:val="20"/>
                <w:lang w:eastAsia="zh-CN"/>
              </w:rPr>
            </w:pPr>
            <w:r>
              <w:rPr>
                <w:rFonts w:hint="eastAsia" w:ascii="宋体" w:eastAsia="宋体" w:cs="宋体"/>
                <w:color w:val="auto"/>
                <w:kern w:val="0"/>
                <w:sz w:val="20"/>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eastAsia="zh-CN"/>
              </w:rPr>
              <w:t>详细评审</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安</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全</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保</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密</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方</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案</w:t>
            </w:r>
          </w:p>
        </w:tc>
        <w:tc>
          <w:tcPr>
            <w:tcW w:w="6437" w:type="dxa"/>
            <w:tcBorders>
              <w:top w:val="single" w:color="auto" w:sz="4" w:space="0"/>
              <w:left w:val="single" w:color="auto" w:sz="4" w:space="0"/>
              <w:bottom w:val="single" w:color="auto" w:sz="4" w:space="0"/>
              <w:right w:val="single" w:color="auto" w:sz="4" w:space="0"/>
            </w:tcBorders>
            <w:noWrap/>
            <w:vAlign w:val="center"/>
          </w:tcPr>
          <w:p>
            <w:pPr>
              <w:ind w:left="0"/>
              <w:rPr>
                <w:rFonts w:hint="eastAsia"/>
                <w:sz w:val="20"/>
              </w:rPr>
            </w:pPr>
            <w:r>
              <w:rPr>
                <w:rFonts w:hint="eastAsia"/>
                <w:sz w:val="20"/>
              </w:rPr>
              <w:t>根据供应商提供的安全保密方案进行综合评审，包括但不限于：</w:t>
            </w:r>
            <w:r>
              <w:rPr>
                <w:rFonts w:hint="eastAsia"/>
                <w:sz w:val="20"/>
                <w:lang w:bidi="ar-SA"/>
              </w:rPr>
              <w:fldChar w:fldCharType="begin"/>
            </w:r>
            <w:r>
              <w:rPr>
                <w:rFonts w:hint="eastAsia"/>
                <w:sz w:val="20"/>
                <w:lang w:bidi="ar-SA"/>
              </w:rPr>
              <w:instrText xml:space="preserve">eq \o\ac(○</w:instrText>
            </w:r>
            <w:r>
              <w:rPr>
                <w:rFonts w:hint="eastAsia"/>
                <w:sz w:val="14"/>
                <w:lang w:bidi="ar-SA"/>
              </w:rPr>
              <w:instrText xml:space="preserve">,1)</w:instrText>
            </w:r>
            <w:r>
              <w:rPr>
                <w:rFonts w:hint="eastAsia"/>
                <w:sz w:val="20"/>
                <w:lang w:bidi="ar-SA"/>
              </w:rPr>
              <w:fldChar w:fldCharType="end"/>
            </w:r>
            <w:r>
              <w:rPr>
                <w:rFonts w:hint="eastAsia"/>
                <w:sz w:val="20"/>
              </w:rPr>
              <w:t>实体档案安全、</w:t>
            </w:r>
            <w:r>
              <w:rPr>
                <w:rFonts w:hint="eastAsia"/>
                <w:sz w:val="20"/>
                <w:lang w:bidi="ar-SA"/>
              </w:rPr>
              <w:fldChar w:fldCharType="begin"/>
            </w:r>
            <w:r>
              <w:rPr>
                <w:rFonts w:hint="eastAsia"/>
                <w:sz w:val="20"/>
                <w:lang w:bidi="ar-SA"/>
              </w:rPr>
              <w:instrText xml:space="preserve">eq \o\ac(○</w:instrText>
            </w:r>
            <w:r>
              <w:rPr>
                <w:rFonts w:hint="eastAsia"/>
                <w:sz w:val="14"/>
                <w:lang w:bidi="ar-SA"/>
              </w:rPr>
              <w:instrText xml:space="preserve">,2)</w:instrText>
            </w:r>
            <w:r>
              <w:rPr>
                <w:rFonts w:hint="eastAsia"/>
                <w:sz w:val="20"/>
                <w:lang w:bidi="ar-SA"/>
              </w:rPr>
              <w:fldChar w:fldCharType="end"/>
            </w:r>
            <w:r>
              <w:rPr>
                <w:rFonts w:hint="eastAsia"/>
                <w:sz w:val="20"/>
              </w:rPr>
              <w:t>安全保密制度、</w:t>
            </w:r>
            <w:r>
              <w:rPr>
                <w:rFonts w:hint="eastAsia"/>
                <w:sz w:val="20"/>
                <w:lang w:bidi="ar-SA"/>
              </w:rPr>
              <w:fldChar w:fldCharType="begin"/>
            </w:r>
            <w:r>
              <w:rPr>
                <w:rFonts w:hint="eastAsia"/>
                <w:sz w:val="20"/>
                <w:lang w:bidi="ar-SA"/>
              </w:rPr>
              <w:instrText xml:space="preserve">eq \o\ac(○</w:instrText>
            </w:r>
            <w:r>
              <w:rPr>
                <w:rFonts w:hint="eastAsia"/>
                <w:sz w:val="14"/>
                <w:lang w:bidi="ar-SA"/>
              </w:rPr>
              <w:instrText xml:space="preserve">,3)</w:instrText>
            </w:r>
            <w:r>
              <w:rPr>
                <w:rFonts w:hint="eastAsia"/>
                <w:sz w:val="20"/>
                <w:lang w:bidi="ar-SA"/>
              </w:rPr>
              <w:fldChar w:fldCharType="end"/>
            </w:r>
            <w:r>
              <w:rPr>
                <w:rFonts w:hint="eastAsia"/>
                <w:sz w:val="20"/>
              </w:rPr>
              <w:t>现场保密措施、</w:t>
            </w:r>
            <w:r>
              <w:rPr>
                <w:rFonts w:hint="eastAsia"/>
                <w:sz w:val="20"/>
                <w:lang w:bidi="ar-SA"/>
              </w:rPr>
              <w:fldChar w:fldCharType="begin"/>
            </w:r>
            <w:r>
              <w:rPr>
                <w:rFonts w:hint="eastAsia"/>
                <w:sz w:val="20"/>
                <w:lang w:bidi="ar-SA"/>
              </w:rPr>
              <w:instrText xml:space="preserve">eq \o\ac(○</w:instrText>
            </w:r>
            <w:r>
              <w:rPr>
                <w:rFonts w:hint="eastAsia"/>
                <w:sz w:val="14"/>
                <w:lang w:bidi="ar-SA"/>
              </w:rPr>
              <w:instrText xml:space="preserve">,4)</w:instrText>
            </w:r>
            <w:r>
              <w:rPr>
                <w:rFonts w:hint="eastAsia"/>
                <w:sz w:val="20"/>
                <w:lang w:bidi="ar-SA"/>
              </w:rPr>
              <w:fldChar w:fldCharType="end"/>
            </w:r>
            <w:r>
              <w:rPr>
                <w:rFonts w:hint="eastAsia"/>
                <w:sz w:val="20"/>
              </w:rPr>
              <w:t>现场安全管理、</w:t>
            </w:r>
            <w:r>
              <w:rPr>
                <w:rFonts w:hint="eastAsia"/>
                <w:sz w:val="20"/>
                <w:lang w:bidi="ar-SA"/>
              </w:rPr>
              <w:fldChar w:fldCharType="begin"/>
            </w:r>
            <w:r>
              <w:rPr>
                <w:rFonts w:hint="eastAsia"/>
                <w:sz w:val="20"/>
                <w:lang w:bidi="ar-SA"/>
              </w:rPr>
              <w:instrText xml:space="preserve">eq \o\ac(○</w:instrText>
            </w:r>
            <w:r>
              <w:rPr>
                <w:rFonts w:hint="eastAsia"/>
                <w:sz w:val="14"/>
                <w:lang w:bidi="ar-SA"/>
              </w:rPr>
              <w:instrText xml:space="preserve">,5)</w:instrText>
            </w:r>
            <w:r>
              <w:rPr>
                <w:rFonts w:hint="eastAsia"/>
                <w:sz w:val="20"/>
                <w:lang w:bidi="ar-SA"/>
              </w:rPr>
              <w:fldChar w:fldCharType="end"/>
            </w:r>
            <w:r>
              <w:rPr>
                <w:rFonts w:hint="eastAsia"/>
                <w:sz w:val="20"/>
              </w:rPr>
              <w:t>涉密文件处理等方面内容，完全满足以上内容的得</w:t>
            </w:r>
            <w:r>
              <w:rPr>
                <w:sz w:val="20"/>
              </w:rPr>
              <w:t>15</w:t>
            </w:r>
            <w:r>
              <w:rPr>
                <w:rFonts w:hint="eastAsia"/>
                <w:sz w:val="20"/>
              </w:rPr>
              <w:t>分，每缺少一项内容扣</w:t>
            </w:r>
            <w:r>
              <w:rPr>
                <w:sz w:val="20"/>
              </w:rPr>
              <w:t>3</w:t>
            </w:r>
            <w:r>
              <w:rPr>
                <w:rFonts w:hint="eastAsia"/>
                <w:sz w:val="20"/>
              </w:rPr>
              <w:t>分，每有一项内容不满足或内容不完整扣</w:t>
            </w:r>
            <w:r>
              <w:rPr>
                <w:sz w:val="20"/>
              </w:rPr>
              <w:t>1</w:t>
            </w:r>
            <w:r>
              <w:rPr>
                <w:rFonts w:hint="eastAsia"/>
                <w:sz w:val="20"/>
              </w:rPr>
              <w:t>分，扣完为止。</w:t>
            </w:r>
          </w:p>
          <w:p>
            <w:pPr>
              <w:ind w:left="0"/>
              <w:rPr>
                <w:rFonts w:hint="eastAsia"/>
                <w:sz w:val="20"/>
              </w:rPr>
            </w:pPr>
            <w:r>
              <w:rPr>
                <w:rFonts w:hint="eastAsia"/>
                <w:sz w:val="20"/>
              </w:rPr>
              <w:t>注：（1）完全满足以上内容是指：方案包含但不限于上诉内容的文字、图片、表格等形式详细呈现方案内容，方案内容切合行业实际，符合行业政策，满足项目要求。</w:t>
            </w:r>
          </w:p>
          <w:p>
            <w:pPr>
              <w:ind w:left="0"/>
              <w:rPr>
                <w:rFonts w:hint="eastAsia" w:ascii="宋体" w:eastAsia="宋体" w:cs="宋体"/>
                <w:color w:val="auto"/>
                <w:sz w:val="20"/>
              </w:rPr>
            </w:pPr>
            <w:r>
              <w:rPr>
                <w:rFonts w:hint="eastAsia"/>
                <w:sz w:val="20"/>
              </w:rPr>
              <w:t>（2）不满足或内容不完整是指：方案内容不切合行业实际、不符合行业政策；或方案内容生搬硬造，与实际情况不符，存在偏差；或方案内容过于简略；或存在与项目无关的文字内容；或内容不适用项目实际情况；或内容逻辑漏洞或原理错误。</w:t>
            </w: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color w:val="auto"/>
                <w:kern w:val="0"/>
                <w:sz w:val="20"/>
                <w:lang w:val="en-US" w:eastAsia="zh-CN"/>
              </w:rPr>
            </w:pPr>
            <w:r>
              <w:rPr>
                <w:rFonts w:hint="eastAsia" w:ascii="宋体" w:eastAsia="宋体" w:cs="宋体"/>
                <w:color w:val="auto"/>
                <w:kern w:val="0"/>
                <w:sz w:val="20"/>
                <w:lang w:val="en-US" w:eastAsia="zh-CN"/>
              </w:rPr>
              <w:t>15.0</w:t>
            </w:r>
          </w:p>
        </w:tc>
        <w:tc>
          <w:tcPr>
            <w:tcW w:w="7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rPr>
            </w:pPr>
            <w:r>
              <w:rPr>
                <w:rFonts w:hint="eastAsia"/>
                <w:sz w:val="20"/>
                <w:lang w:eastAsia="zh-CN"/>
              </w:rPr>
              <w:t>共同类评审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3" w:hRule="atLeast"/>
          <w:jc w:val="center"/>
        </w:trPr>
        <w:tc>
          <w:tcPr>
            <w:tcW w:w="4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color w:val="auto"/>
                <w:kern w:val="0"/>
                <w:sz w:val="20"/>
                <w:lang w:eastAsia="zh-CN"/>
              </w:rPr>
            </w:pPr>
            <w:r>
              <w:rPr>
                <w:rFonts w:hint="eastAsia" w:ascii="宋体" w:eastAsia="宋体" w:cs="宋体"/>
                <w:color w:val="auto"/>
                <w:kern w:val="0"/>
                <w:sz w:val="20"/>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详细评审</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进</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度</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实</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施</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方</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案</w:t>
            </w:r>
          </w:p>
        </w:tc>
        <w:tc>
          <w:tcPr>
            <w:tcW w:w="6437" w:type="dxa"/>
            <w:tcBorders>
              <w:top w:val="single" w:color="auto" w:sz="4" w:space="0"/>
              <w:left w:val="single" w:color="auto" w:sz="4" w:space="0"/>
              <w:bottom w:val="single" w:color="auto" w:sz="4" w:space="0"/>
              <w:right w:val="single" w:color="auto" w:sz="4" w:space="0"/>
            </w:tcBorders>
            <w:noWrap/>
            <w:vAlign w:val="center"/>
          </w:tcPr>
          <w:p>
            <w:pPr>
              <w:bidi w:val="0"/>
              <w:ind w:left="0"/>
              <w:rPr>
                <w:rFonts w:hint="eastAsia"/>
                <w:sz w:val="20"/>
                <w:lang w:val="en-US" w:eastAsia="zh-CN"/>
              </w:rPr>
            </w:pPr>
            <w:r>
              <w:rPr>
                <w:rFonts w:hint="eastAsia"/>
                <w:sz w:val="20"/>
                <w:lang w:val="en-US" w:eastAsia="zh-CN"/>
              </w:rPr>
              <w:t>根据供应商提供的进度实施方案进行综合评审，包括但不限于：</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,1)</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人员安排、</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,2)</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应急事件的处理、</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,3)</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档案情况、</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,4)</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进度保障措施等方面内容，完全满足以上内容的得16分，每缺少一项内容扣4分，每有一项内容不满足或内容不完整扣2分，扣完为止。</w:t>
            </w:r>
          </w:p>
          <w:p>
            <w:pPr>
              <w:bidi w:val="0"/>
              <w:ind w:left="0"/>
              <w:rPr>
                <w:sz w:val="20"/>
                <w:lang w:val="en-US" w:eastAsia="zh-CN"/>
              </w:rPr>
            </w:pPr>
            <w:r>
              <w:rPr>
                <w:rFonts w:hint="eastAsia"/>
                <w:sz w:val="20"/>
                <w:lang w:val="en-US" w:eastAsia="zh-CN"/>
              </w:rPr>
              <w:t>注：（1）完全满足以上内容是指：方案包含但不限于上诉内容的文字、图片、表格等形式详细呈现方案内容，方案内容切合行业实际，符合行业政策，满足项目要求。</w:t>
            </w:r>
          </w:p>
          <w:p>
            <w:pPr>
              <w:bidi w:val="0"/>
              <w:ind w:left="0"/>
              <w:rPr>
                <w:rFonts w:hint="eastAsia" w:ascii="宋体" w:eastAsia="宋体" w:cs="宋体"/>
                <w:color w:val="auto"/>
                <w:kern w:val="0"/>
                <w:sz w:val="20"/>
                <w:lang w:val="en-US" w:eastAsia="zh-CN"/>
              </w:rPr>
            </w:pPr>
            <w:r>
              <w:rPr>
                <w:rFonts w:hint="eastAsia"/>
                <w:sz w:val="20"/>
                <w:lang w:val="en-US" w:eastAsia="zh-CN"/>
              </w:rPr>
              <w:t>（2）不满足或内容不完整是指：方案内容不切合行业实际、不符合行业政策；或方案内容生搬硬造，与实际情况不符，存在偏差；或方案内容过于简略；或存在与项目无关的文字内容；或内容不适用项目实际情况；或内容逻辑漏洞或原理错误。</w:t>
            </w: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color w:val="auto"/>
                <w:kern w:val="0"/>
                <w:sz w:val="20"/>
                <w:shd w:val="clear" w:color="000000" w:fill="FFFF00"/>
                <w:lang w:val="en-US" w:eastAsia="zh-CN"/>
              </w:rPr>
            </w:pPr>
            <w:r>
              <w:rPr>
                <w:rFonts w:hint="eastAsia" w:ascii="宋体" w:eastAsia="宋体" w:cs="宋体"/>
                <w:color w:val="auto"/>
                <w:kern w:val="0"/>
                <w:sz w:val="20"/>
                <w:lang w:val="en-US" w:eastAsia="zh-CN"/>
              </w:rPr>
              <w:t>16.0</w:t>
            </w:r>
          </w:p>
        </w:tc>
        <w:tc>
          <w:tcPr>
            <w:tcW w:w="7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rPr>
            </w:pPr>
            <w:r>
              <w:rPr>
                <w:rFonts w:hint="eastAsia"/>
                <w:sz w:val="20"/>
                <w:lang w:eastAsia="zh-CN"/>
              </w:rPr>
              <w:t>共同类评审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4" w:hRule="atLeast"/>
          <w:jc w:val="center"/>
        </w:trPr>
        <w:tc>
          <w:tcPr>
            <w:tcW w:w="4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auto"/>
                <w:kern w:val="0"/>
                <w:sz w:val="20"/>
                <w:lang w:val="en-US" w:eastAsia="zh-CN"/>
              </w:rPr>
            </w:pPr>
            <w:r>
              <w:rPr>
                <w:rFonts w:hint="eastAsia" w:ascii="宋体" w:eastAsia="宋体" w:cs="宋体"/>
                <w:color w:val="auto"/>
                <w:kern w:val="0"/>
                <w:sz w:val="20"/>
                <w:lang w:val="en-US" w:eastAsia="zh-CN"/>
              </w:rPr>
              <w:t>6</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详细评审</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售</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后</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服</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务</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方</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案</w:t>
            </w:r>
          </w:p>
        </w:tc>
        <w:tc>
          <w:tcPr>
            <w:tcW w:w="6437" w:type="dxa"/>
            <w:tcBorders>
              <w:top w:val="single" w:color="auto" w:sz="4" w:space="0"/>
              <w:left w:val="single" w:color="auto" w:sz="4" w:space="0"/>
              <w:bottom w:val="single" w:color="auto" w:sz="4" w:space="0"/>
              <w:right w:val="single" w:color="auto" w:sz="4" w:space="0"/>
            </w:tcBorders>
            <w:noWrap/>
            <w:vAlign w:val="center"/>
          </w:tcPr>
          <w:p>
            <w:pPr>
              <w:bidi w:val="0"/>
              <w:ind w:left="0"/>
              <w:rPr>
                <w:rFonts w:hint="eastAsia"/>
                <w:sz w:val="20"/>
                <w:lang w:val="en-US" w:eastAsia="zh-CN"/>
              </w:rPr>
            </w:pPr>
            <w:r>
              <w:rPr>
                <w:rFonts w:hint="eastAsia"/>
                <w:sz w:val="20"/>
                <w:lang w:val="en-US" w:eastAsia="zh-CN"/>
              </w:rPr>
              <w:t>根据供应商提供的售后服务方案进行综合评审，包括但不限于：</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,1)</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后续保障服务、</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,2)</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服务机制、</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,3)</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保障机制、</w:t>
            </w:r>
            <w:r>
              <w:rPr>
                <w:rFonts w:hint="eastAsia" w:ascii="Times New Roman" w:hAnsi="Times New Roman" w:eastAsia="宋体" w:cs="Times New Roman"/>
                <w:kern w:val="2"/>
                <w:position w:val="3"/>
                <w:sz w:val="20"/>
                <w:lang w:val="en-US" w:eastAsia="zh-CN" w:bidi="ar-SA"/>
              </w:rPr>
              <w:fldChar w:fldCharType="begin"/>
            </w:r>
            <w:r>
              <w:rPr>
                <w:rFonts w:hint="eastAsia" w:ascii="Times New Roman" w:hAnsi="Times New Roman" w:eastAsia="宋体" w:cs="Times New Roman"/>
                <w:kern w:val="2"/>
                <w:position w:val="3"/>
                <w:sz w:val="20"/>
                <w:lang w:val="en-US" w:eastAsia="zh-CN" w:bidi="ar-SA"/>
              </w:rPr>
              <w:instrText xml:space="preserve">eq \o\ac(○</w:instrText>
            </w:r>
            <w:r>
              <w:rPr>
                <w:rFonts w:hint="eastAsia" w:ascii="Times New Roman" w:hAnsi="Times New Roman" w:eastAsia="宋体" w:cs="Times New Roman"/>
                <w:kern w:val="2"/>
                <w:position w:val="3"/>
                <w:sz w:val="14"/>
                <w:lang w:val="en-US" w:eastAsia="zh-CN" w:bidi="ar-SA"/>
              </w:rPr>
              <w:instrText xml:space="preserve">,4)</w:instrText>
            </w:r>
            <w:r>
              <w:rPr>
                <w:rFonts w:hint="eastAsia" w:ascii="Times New Roman" w:hAnsi="Times New Roman" w:eastAsia="宋体" w:cs="Times New Roman"/>
                <w:kern w:val="2"/>
                <w:position w:val="3"/>
                <w:sz w:val="20"/>
                <w:lang w:val="en-US" w:eastAsia="zh-CN" w:bidi="ar-SA"/>
              </w:rPr>
              <w:fldChar w:fldCharType="end"/>
            </w:r>
            <w:r>
              <w:rPr>
                <w:rFonts w:hint="eastAsia"/>
                <w:sz w:val="20"/>
                <w:lang w:val="en-US" w:eastAsia="zh-CN"/>
              </w:rPr>
              <w:t>巡检机制等方面内容，完全满足以上内容的得16分，每缺少一项内容扣4分，每有一项内容不满足或内容不完整扣2分，扣完为止。</w:t>
            </w:r>
          </w:p>
          <w:p>
            <w:pPr>
              <w:bidi w:val="0"/>
              <w:ind w:left="0"/>
              <w:rPr>
                <w:sz w:val="20"/>
                <w:lang w:val="en-US" w:eastAsia="zh-CN"/>
              </w:rPr>
            </w:pPr>
            <w:r>
              <w:rPr>
                <w:rFonts w:hint="eastAsia"/>
                <w:sz w:val="20"/>
                <w:lang w:val="en-US" w:eastAsia="zh-CN"/>
              </w:rPr>
              <w:t>注：（1）完全满足以上内容是指：方案包含但不限于上诉内容的文字、图片、表格等形式详细呈现方案内容，方案内容切合行业实际，符合行业政策，满足项目要求。</w:t>
            </w:r>
          </w:p>
          <w:p>
            <w:pPr>
              <w:bidi w:val="0"/>
              <w:ind w:left="0"/>
              <w:rPr>
                <w:rFonts w:hint="eastAsia"/>
                <w:sz w:val="20"/>
                <w:lang w:val="en-US" w:eastAsia="zh-CN"/>
              </w:rPr>
            </w:pPr>
            <w:r>
              <w:rPr>
                <w:rFonts w:hint="eastAsia"/>
                <w:sz w:val="20"/>
                <w:lang w:val="en-US" w:eastAsia="zh-CN"/>
              </w:rPr>
              <w:t>（2）不满足或内容不完整是指：方案内容不切合行业实际、不符合行业政策；或方案内容生搬硬造，与实际情况不符，存在偏差；或方案内容过于简略；或存在与项目无关的文字内容；或内容不适用项目实际情况；或内容逻辑漏洞或原理错误。</w:t>
            </w: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color w:val="auto"/>
                <w:kern w:val="0"/>
                <w:sz w:val="20"/>
                <w:lang w:val="en-US" w:eastAsia="zh-CN"/>
              </w:rPr>
            </w:pPr>
            <w:r>
              <w:rPr>
                <w:rFonts w:hint="eastAsia" w:ascii="宋体" w:eastAsia="宋体" w:cs="宋体"/>
                <w:color w:val="auto"/>
                <w:kern w:val="0"/>
                <w:sz w:val="20"/>
                <w:lang w:val="en-US" w:eastAsia="zh-CN"/>
              </w:rPr>
              <w:t>16.0</w:t>
            </w:r>
          </w:p>
        </w:tc>
        <w:tc>
          <w:tcPr>
            <w:tcW w:w="7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rPr>
            </w:pPr>
            <w:r>
              <w:rPr>
                <w:rFonts w:hint="eastAsia"/>
                <w:sz w:val="20"/>
                <w:lang w:eastAsia="zh-CN"/>
              </w:rPr>
              <w:t>共同类评审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4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eastAsia="宋体" w:cs="宋体"/>
                <w:color w:val="auto"/>
                <w:kern w:val="0"/>
                <w:sz w:val="20"/>
                <w:lang w:val="en-US" w:eastAsia="zh-CN"/>
              </w:rPr>
            </w:pPr>
            <w:r>
              <w:rPr>
                <w:rFonts w:hint="eastAsia" w:ascii="宋体" w:eastAsia="宋体" w:cs="宋体"/>
                <w:color w:val="auto"/>
                <w:kern w:val="0"/>
                <w:sz w:val="20"/>
                <w:lang w:val="en-US" w:eastAsia="zh-CN"/>
              </w:rPr>
              <w:t>7</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详细评审</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业</w:t>
            </w:r>
          </w:p>
          <w:p>
            <w:pPr>
              <w:spacing w:line="360" w:lineRule="auto"/>
              <w:jc w:val="center"/>
              <w:rPr>
                <w:rFonts w:hint="eastAsia" w:ascii="宋体" w:eastAsia="宋体" w:cs="宋体"/>
                <w:color w:val="auto"/>
                <w:kern w:val="0"/>
                <w:sz w:val="20"/>
                <w:lang w:val="en-US" w:eastAsia="zh-CN"/>
              </w:rPr>
            </w:pPr>
            <w:r>
              <w:rPr>
                <w:rFonts w:hint="eastAsia" w:ascii="宋体" w:eastAsia="宋体" w:cs="宋体"/>
                <w:color w:val="auto"/>
                <w:kern w:val="0"/>
                <w:sz w:val="20"/>
                <w:lang w:val="en-US" w:eastAsia="zh-CN"/>
              </w:rPr>
              <w:t>绩</w:t>
            </w:r>
          </w:p>
        </w:tc>
        <w:tc>
          <w:tcPr>
            <w:tcW w:w="6437" w:type="dxa"/>
            <w:tcBorders>
              <w:top w:val="single" w:color="auto" w:sz="4" w:space="0"/>
              <w:left w:val="single" w:color="auto" w:sz="4" w:space="0"/>
              <w:bottom w:val="single" w:color="auto" w:sz="4" w:space="0"/>
              <w:right w:val="single" w:color="auto" w:sz="4" w:space="0"/>
            </w:tcBorders>
            <w:noWrap/>
            <w:vAlign w:val="center"/>
          </w:tcPr>
          <w:p>
            <w:pPr>
              <w:bidi w:val="0"/>
              <w:ind w:left="0"/>
              <w:rPr>
                <w:rFonts w:hint="eastAsia"/>
                <w:sz w:val="20"/>
                <w:lang w:val="en-US" w:eastAsia="zh-CN"/>
              </w:rPr>
            </w:pPr>
            <w:r>
              <w:rPr>
                <w:rFonts w:hint="eastAsia"/>
                <w:sz w:val="20"/>
                <w:lang w:val="en-US" w:eastAsia="zh-CN"/>
              </w:rPr>
              <w:t>供应商提供202</w:t>
            </w:r>
            <w:r>
              <w:rPr>
                <w:sz w:val="20"/>
                <w:lang w:val="en-US" w:eastAsia="zh-CN"/>
              </w:rPr>
              <w:t>1</w:t>
            </w:r>
            <w:r>
              <w:rPr>
                <w:rFonts w:hint="eastAsia"/>
                <w:sz w:val="20"/>
                <w:lang w:val="en-US" w:eastAsia="zh-CN"/>
              </w:rPr>
              <w:t>年以来类似项目业绩，每提供一个得2分，最多得6分。</w:t>
            </w:r>
          </w:p>
          <w:p>
            <w:pPr>
              <w:bidi w:val="0"/>
              <w:ind w:left="0"/>
              <w:rPr>
                <w:sz w:val="20"/>
                <w:lang w:val="en-US" w:eastAsia="zh-CN"/>
              </w:rPr>
            </w:pPr>
            <w:r>
              <w:rPr>
                <w:rFonts w:hint="eastAsia"/>
                <w:sz w:val="20"/>
                <w:lang w:val="en-US" w:eastAsia="zh-CN"/>
              </w:rPr>
              <w:t>注：提供中标（成交）通知书或合同复印件并加盖供应商单位鲜章；否则不得分。</w:t>
            </w:r>
          </w:p>
        </w:tc>
        <w:tc>
          <w:tcPr>
            <w:tcW w:w="9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eastAsia="宋体" w:cs="宋体"/>
                <w:color w:val="auto"/>
                <w:kern w:val="0"/>
                <w:sz w:val="20"/>
                <w:lang w:val="en-US" w:eastAsia="zh-CN"/>
              </w:rPr>
            </w:pPr>
            <w:r>
              <w:rPr>
                <w:rFonts w:hint="eastAsia" w:ascii="宋体" w:eastAsia="宋体" w:cs="宋体"/>
                <w:color w:val="auto"/>
                <w:kern w:val="0"/>
                <w:sz w:val="20"/>
                <w:lang w:val="en-US" w:eastAsia="zh-CN"/>
              </w:rPr>
              <w:t>6.0</w:t>
            </w:r>
          </w:p>
        </w:tc>
        <w:tc>
          <w:tcPr>
            <w:tcW w:w="7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sz w:val="20"/>
                <w:lang w:eastAsia="zh-CN"/>
              </w:rPr>
            </w:pPr>
            <w:r>
              <w:rPr>
                <w:rFonts w:hint="eastAsia"/>
                <w:sz w:val="20"/>
                <w:lang w:eastAsia="zh-CN"/>
              </w:rPr>
              <w:t>共同类评审</w:t>
            </w:r>
          </w:p>
        </w:tc>
      </w:tr>
    </w:tbl>
    <w:p>
      <w:pPr>
        <w:pBdr>
          <w:top w:val="none" w:color="auto" w:sz="0" w:space="0"/>
          <w:left w:val="none" w:color="auto" w:sz="0" w:space="0"/>
          <w:bottom w:val="none" w:color="auto" w:sz="0" w:space="0"/>
          <w:right w:val="none" w:color="auto" w:sz="0" w:space="0"/>
        </w:pBdr>
        <w:ind w:firstLine="482" w:firstLineChars="150"/>
        <w:rPr>
          <w:rFonts w:hint="eastAsia" w:ascii="仿宋_GB2312" w:eastAsia="仿宋_GB2312" w:cs="仿宋_GB2312"/>
          <w:sz w:val="32"/>
          <w:szCs w:val="32"/>
        </w:rPr>
      </w:pPr>
      <w:r>
        <w:rPr>
          <w:rFonts w:hint="eastAsia" w:ascii="仿宋_GB2312" w:eastAsia="仿宋_GB2312" w:cs="仿宋_GB2312"/>
          <w:b/>
          <w:bCs/>
          <w:sz w:val="32"/>
          <w:szCs w:val="32"/>
        </w:rPr>
        <w:t>备注：</w:t>
      </w:r>
      <w:r>
        <w:rPr>
          <w:rFonts w:hint="eastAsia" w:ascii="仿宋_GB2312" w:eastAsia="仿宋_GB2312" w:cs="仿宋_GB2312"/>
          <w:bCs/>
          <w:sz w:val="32"/>
          <w:szCs w:val="32"/>
        </w:rPr>
        <w:t>1.评分表注：</w:t>
      </w:r>
      <w:r>
        <w:rPr>
          <w:rFonts w:hint="eastAsia" w:ascii="仿宋_GB2312" w:eastAsia="仿宋_GB2312" w:cs="仿宋_GB2312"/>
          <w:sz w:val="32"/>
          <w:szCs w:val="32"/>
        </w:rPr>
        <w:t>评分的取值按四舍五入法，保留小数点后两位。</w:t>
      </w:r>
    </w:p>
    <w:p>
      <w:pPr>
        <w:pBdr>
          <w:top w:val="none" w:color="auto" w:sz="0" w:space="0"/>
          <w:left w:val="none" w:color="auto" w:sz="0" w:space="0"/>
          <w:bottom w:val="none" w:color="auto" w:sz="0" w:space="0"/>
          <w:right w:val="none" w:color="auto" w:sz="0" w:space="0"/>
        </w:pBdr>
        <w:ind w:firstLine="480" w:firstLineChars="150"/>
        <w:rPr>
          <w:rFonts w:hint="eastAsia" w:ascii="仿宋_GB2312" w:eastAsia="仿宋_GB2312" w:cs="仿宋_GB2312"/>
          <w:sz w:val="32"/>
          <w:szCs w:val="32"/>
        </w:rPr>
      </w:pPr>
      <w:r>
        <w:rPr>
          <w:rFonts w:hint="eastAsia" w:ascii="仿宋_GB2312" w:eastAsia="仿宋_GB2312" w:cs="仿宋_GB2312"/>
          <w:bCs/>
          <w:sz w:val="32"/>
          <w:szCs w:val="32"/>
        </w:rPr>
        <w:t>2.评审得分：</w:t>
      </w:r>
      <w:r>
        <w:rPr>
          <w:rFonts w:hint="eastAsia" w:ascii="仿宋_GB2312" w:eastAsia="仿宋_GB2312" w:cs="仿宋_GB2312"/>
          <w:sz w:val="32"/>
          <w:szCs w:val="32"/>
        </w:rPr>
        <w:t>去掉评审人员最高分和最低分，其余评审人员综合得分为评审最终得分。</w:t>
      </w:r>
    </w:p>
    <w:p>
      <w:pPr>
        <w:pBdr>
          <w:top w:val="none" w:color="auto" w:sz="0" w:space="0"/>
          <w:left w:val="none" w:color="auto" w:sz="0" w:space="0"/>
          <w:bottom w:val="none" w:color="auto" w:sz="0" w:space="0"/>
          <w:right w:val="none" w:color="auto" w:sz="0" w:space="0"/>
        </w:pBdr>
        <w:ind w:firstLine="480" w:firstLineChars="150"/>
        <w:rPr>
          <w:rFonts w:hint="eastAsia" w:ascii="仿宋_GB2312" w:eastAsia="仿宋_GB2312" w:cs="仿宋_GB2312"/>
          <w:bCs/>
          <w:sz w:val="32"/>
          <w:szCs w:val="32"/>
        </w:rPr>
      </w:pPr>
      <w:r>
        <w:rPr>
          <w:rFonts w:hint="eastAsia" w:ascii="仿宋_GB2312" w:eastAsia="仿宋_GB2312" w:cs="仿宋_GB2312"/>
          <w:bCs/>
          <w:sz w:val="32"/>
          <w:szCs w:val="32"/>
        </w:rPr>
        <w:t>3.磋商纪律和注意事项：</w:t>
      </w:r>
    </w:p>
    <w:p>
      <w:pPr>
        <w:pBdr>
          <w:top w:val="none" w:color="auto" w:sz="0" w:space="0"/>
          <w:left w:val="none" w:color="auto" w:sz="0" w:space="0"/>
          <w:bottom w:val="none" w:color="auto" w:sz="0" w:space="0"/>
          <w:right w:val="none" w:color="auto" w:sz="0" w:space="0"/>
        </w:pBdr>
        <w:ind w:firstLine="480" w:firstLineChars="150"/>
        <w:rPr>
          <w:rFonts w:hint="eastAsia" w:ascii="仿宋_GB2312" w:eastAsia="仿宋_GB2312" w:cs="仿宋_GB2312"/>
          <w:sz w:val="32"/>
          <w:szCs w:val="32"/>
        </w:rPr>
      </w:pPr>
      <w:r>
        <w:rPr>
          <w:rFonts w:hint="eastAsia" w:ascii="仿宋_GB2312" w:eastAsia="仿宋_GB2312" w:cs="仿宋_GB2312"/>
          <w:bCs/>
          <w:sz w:val="32"/>
          <w:szCs w:val="32"/>
        </w:rPr>
        <w:t>3.1</w:t>
      </w:r>
      <w:r>
        <w:rPr>
          <w:rFonts w:hint="eastAsia" w:ascii="仿宋_GB2312" w:eastAsia="仿宋_GB2312" w:cs="仿宋_GB2312"/>
          <w:sz w:val="32"/>
          <w:szCs w:val="32"/>
        </w:rPr>
        <w:t>磋商小组内部讨论的情况和意见</w:t>
      </w:r>
      <w:r>
        <w:rPr>
          <w:rFonts w:ascii="仿宋_GB2312" w:eastAsia="仿宋_GB2312" w:cs="仿宋_GB2312"/>
          <w:sz w:val="32"/>
          <w:szCs w:val="32"/>
        </w:rPr>
        <w:t>必须</w:t>
      </w:r>
      <w:r>
        <w:rPr>
          <w:rFonts w:hint="eastAsia" w:ascii="仿宋_GB2312" w:eastAsia="仿宋_GB2312" w:cs="仿宋_GB2312"/>
          <w:sz w:val="32"/>
          <w:szCs w:val="32"/>
        </w:rPr>
        <w:t>保密，任何人不得以任何形式透露给供应商或与供应商有关的单位和个人。</w:t>
      </w:r>
    </w:p>
    <w:p>
      <w:pPr>
        <w:pBdr>
          <w:top w:val="none" w:color="auto" w:sz="0" w:space="0"/>
          <w:left w:val="none" w:color="auto" w:sz="0" w:space="0"/>
          <w:bottom w:val="none" w:color="auto" w:sz="0" w:space="0"/>
          <w:right w:val="none" w:color="auto" w:sz="0" w:space="0"/>
        </w:pBdr>
        <w:ind w:firstLine="480" w:firstLineChars="150"/>
        <w:rPr>
          <w:rFonts w:hint="eastAsia" w:ascii="仿宋_GB2312" w:eastAsia="仿宋_GB2312" w:cs="仿宋_GB2312"/>
          <w:sz w:val="32"/>
          <w:szCs w:val="32"/>
        </w:rPr>
      </w:pPr>
      <w:r>
        <w:rPr>
          <w:rFonts w:hint="eastAsia" w:ascii="仿宋_GB2312" w:eastAsia="仿宋_GB2312" w:cs="仿宋_GB2312"/>
          <w:bCs/>
          <w:sz w:val="32"/>
          <w:szCs w:val="32"/>
        </w:rPr>
        <w:t>3.2</w:t>
      </w:r>
      <w:r>
        <w:rPr>
          <w:rFonts w:hint="eastAsia" w:ascii="仿宋_GB2312" w:eastAsia="仿宋_GB2312" w:cs="仿宋_GB2312"/>
          <w:sz w:val="32"/>
          <w:szCs w:val="32"/>
        </w:rPr>
        <w:t>在磋商过程中，供应商不得以任何形式对磋商小组成员进行旨在影响磋商结果的私下接触，否则将取消其参与磋商的资格。</w:t>
      </w:r>
    </w:p>
    <w:p>
      <w:pPr>
        <w:pBdr>
          <w:top w:val="none" w:color="auto" w:sz="0" w:space="0"/>
          <w:left w:val="none" w:color="auto" w:sz="0" w:space="0"/>
          <w:bottom w:val="none" w:color="auto" w:sz="0" w:space="0"/>
          <w:right w:val="none" w:color="auto" w:sz="0" w:space="0"/>
        </w:pBdr>
        <w:ind w:firstLine="480" w:firstLineChars="150"/>
        <w:rPr>
          <w:rFonts w:hint="eastAsia" w:ascii="仿宋_GB2312" w:eastAsia="仿宋_GB2312" w:cs="仿宋_GB2312"/>
          <w:sz w:val="32"/>
          <w:szCs w:val="32"/>
        </w:rPr>
      </w:pPr>
      <w:r>
        <w:rPr>
          <w:rFonts w:hint="eastAsia" w:ascii="仿宋_GB2312" w:eastAsia="仿宋_GB2312" w:cs="仿宋_GB2312"/>
          <w:bCs/>
          <w:sz w:val="32"/>
          <w:szCs w:val="32"/>
        </w:rPr>
        <w:t>3.3</w:t>
      </w:r>
      <w:r>
        <w:rPr>
          <w:rFonts w:hint="eastAsia" w:ascii="仿宋_GB2312" w:eastAsia="仿宋_GB2312" w:cs="仿宋_GB2312"/>
          <w:sz w:val="32"/>
          <w:szCs w:val="32"/>
        </w:rPr>
        <w:t>对各供应商的商业机密，磋商小组成员应予以保密，不得泄露给其他供应商。</w:t>
      </w:r>
    </w:p>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docVars>
    <w:docVar w:name="commondata" w:val="eyJoZGlkIjoiMzk2ZDY2ZGIzMGMwZWMwYTVkNDJmNjhhMmZmZGEwZmIifQ=="/>
  </w:docVars>
  <w:rsids>
    <w:rsidRoot w:val="00000000"/>
    <w:rsid w:val="6BF06B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宋体" w:cs="Times New Roman"/>
      <w:kern w:val="2"/>
      <w:sz w:val="22"/>
      <w:szCs w:val="20"/>
      <w:lang w:val="en-US" w:eastAsia="zh-CN" w:bidi="ar-SA"/>
    </w:rPr>
  </w:style>
  <w:style w:type="paragraph" w:styleId="2">
    <w:name w:val="heading 1"/>
    <w:basedOn w:val="1"/>
    <w:autoRedefine/>
    <w:qFormat/>
    <w:uiPriority w:val="0"/>
    <w:pPr>
      <w:keepNext/>
      <w:keepLines/>
      <w:widowControl w:val="0"/>
      <w:spacing w:before="340" w:beforeAutospacing="0" w:after="330" w:afterAutospacing="0" w:line="578" w:lineRule="auto"/>
      <w:outlineLvl w:val="0"/>
    </w:pPr>
    <w:rPr>
      <w:b/>
      <w:kern w:val="44"/>
      <w:sz w:val="44"/>
    </w:rPr>
  </w:style>
  <w:style w:type="paragraph" w:styleId="3">
    <w:name w:val="heading 2"/>
    <w:basedOn w:val="1"/>
    <w:uiPriority w:val="0"/>
    <w:pPr>
      <w:keepNext/>
      <w:keepLines/>
      <w:widowControl w:val="0"/>
      <w:spacing w:before="260" w:beforeAutospacing="0" w:after="260" w:afterAutospacing="0" w:line="415" w:lineRule="auto"/>
      <w:outlineLvl w:val="1"/>
    </w:pPr>
    <w:rPr>
      <w:rFonts w:ascii="Arial" w:hAnsi="Arial" w:eastAsia="黑体"/>
      <w:b/>
      <w:sz w:val="32"/>
    </w:rPr>
  </w:style>
  <w:style w:type="paragraph" w:styleId="4">
    <w:name w:val="heading 3"/>
    <w:basedOn w:val="1"/>
    <w:autoRedefine/>
    <w:qFormat/>
    <w:uiPriority w:val="0"/>
    <w:pPr>
      <w:keepNext/>
      <w:keepLines/>
      <w:widowControl w:val="0"/>
      <w:spacing w:before="260" w:beforeAutospacing="0" w:after="260" w:afterAutospacing="0" w:line="415" w:lineRule="auto"/>
      <w:outlineLvl w:val="2"/>
    </w:pPr>
    <w:rPr>
      <w:b/>
      <w:sz w:val="32"/>
    </w:rPr>
  </w:style>
  <w:style w:type="character" w:default="1" w:styleId="11">
    <w:name w:val="Default Paragraph Font"/>
    <w:autoRedefine/>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index 5"/>
    <w:qFormat/>
    <w:uiPriority w:val="0"/>
    <w:pPr>
      <w:widowControl w:val="0"/>
      <w:ind w:left="1680"/>
    </w:pPr>
    <w:rPr>
      <w:rFonts w:ascii="宋体" w:hAnsi="Times New Roman" w:eastAsia="宋体" w:cs="Times New Roman"/>
      <w:kern w:val="2"/>
      <w:sz w:val="24"/>
      <w:szCs w:val="20"/>
      <w:lang w:val="en-US" w:eastAsia="zh-CN" w:bidi="ar-SA"/>
    </w:rPr>
  </w:style>
  <w:style w:type="paragraph" w:styleId="6">
    <w:name w:val="Body Text"/>
    <w:autoRedefine/>
    <w:qFormat/>
    <w:uiPriority w:val="0"/>
    <w:pPr>
      <w:widowControl w:val="0"/>
      <w:spacing w:after="120" w:afterAutospacing="0"/>
      <w:jc w:val="both"/>
    </w:pPr>
    <w:rPr>
      <w:rFonts w:ascii="Times New Roman" w:hAnsi="Times New Roman" w:eastAsia="宋体" w:cs="Times New Roman"/>
      <w:kern w:val="2"/>
      <w:sz w:val="22"/>
      <w:szCs w:val="24"/>
      <w:lang w:val="en-US" w:eastAsia="zh-CN" w:bidi="ar-SA"/>
    </w:rPr>
  </w:style>
  <w:style w:type="paragraph" w:styleId="7">
    <w:name w:val="Body Text Indent 2"/>
    <w:autoRedefine/>
    <w:qFormat/>
    <w:uiPriority w:val="0"/>
    <w:pPr>
      <w:widowControl w:val="0"/>
      <w:spacing w:line="580" w:lineRule="exact"/>
      <w:ind w:left="200" w:leftChars="200"/>
      <w:jc w:val="both"/>
    </w:pPr>
    <w:rPr>
      <w:rFonts w:ascii="Times New Roman" w:hAnsi="Times New Roman" w:eastAsia="仿宋_GB2312" w:cs="仿宋_GB2312"/>
      <w:kern w:val="2"/>
      <w:sz w:val="32"/>
      <w:szCs w:val="22"/>
      <w:lang w:val="en-US" w:eastAsia="zh-CN" w:bidi="ar-SA"/>
    </w:rPr>
  </w:style>
  <w:style w:type="paragraph" w:styleId="8">
    <w:name w:val="footer"/>
    <w:basedOn w:val="1"/>
    <w:autoRedefine/>
    <w:uiPriority w:val="0"/>
    <w:pPr>
      <w:tabs>
        <w:tab w:val="center" w:pos="4153"/>
        <w:tab w:val="right" w:pos="8307"/>
      </w:tabs>
      <w:snapToGrid w:val="0"/>
      <w:jc w:val="left"/>
    </w:pPr>
    <w:rPr>
      <w:sz w:val="18"/>
    </w:rPr>
  </w:style>
  <w:style w:type="paragraph" w:styleId="9">
    <w:name w:val="Normal (Web)"/>
    <w:basedOn w:val="1"/>
    <w:autoRedefine/>
    <w:qFormat/>
    <w:uiPriority w:val="0"/>
    <w:rPr>
      <w:sz w:val="24"/>
    </w:rPr>
  </w:style>
  <w:style w:type="character" w:customStyle="1" w:styleId="12">
    <w:name w:val="NormalCharacter"/>
    <w:autoRedefine/>
    <w:uiPriority w:val="0"/>
  </w:style>
  <w:style w:type="paragraph" w:customStyle="1" w:styleId="13">
    <w:name w:val="目录"/>
    <w:uiPriority w:val="0"/>
    <w:pPr>
      <w:jc w:val="center"/>
    </w:pPr>
    <w:rPr>
      <w:rFonts w:ascii="宋体" w:hAnsi="Times New Roman" w:eastAsia="宋体" w:cs="Times New Roman"/>
      <w:b/>
      <w:sz w:val="36"/>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11</Pages>
  <Words>4557</Words>
  <Characters>4781</Characters>
  <Lines>346</Lines>
  <Paragraphs>188</Paragraphs>
  <TotalTime>172</TotalTime>
  <ScaleCrop>false</ScaleCrop>
  <LinksUpToDate>false</LinksUpToDate>
  <CharactersWithSpaces>4921</CharactersWithSpaces>
  <Application>WPS Office_12.1.0.16364_F1E327BC-269C-435d-A152-05C5408002CA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2024-08-29T09:38:00Z</dcterms:created>
  <dc:creator>user</dc:creator>
  <cp:lastModifiedBy>何以弄墨舞长安</cp:lastModifiedBy>
  <cp:lastPrinted>2024-09-11T03:12:00Z</cp:lastPrinted>
  <dcterms:modified xsi:type="dcterms:W3CDTF">2024-09-11T06:12:19Z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83634244D10C444FA3630016853B401E_12</vt:lpwstr>
  </property>
</Properties>
</file>