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黑体" w:hAnsi="黑体" w:eastAsia="黑体"/>
          <w:sz w:val="32"/>
          <w:szCs w:val="32"/>
        </w:rPr>
      </w:pPr>
      <w:r>
        <w:rPr>
          <w:rFonts w:hint="eastAsia" w:ascii="黑体" w:hAnsi="黑体" w:eastAsia="黑体"/>
          <w:sz w:val="32"/>
          <w:szCs w:val="32"/>
        </w:rPr>
        <w:t>附件1：</w:t>
      </w:r>
    </w:p>
    <w:p>
      <w:pPr>
        <w:pStyle w:val="10"/>
        <w:spacing w:line="360" w:lineRule="auto"/>
        <w:ind w:left="0" w:leftChars="0" w:firstLine="722" w:firstLineChars="200"/>
        <w:jc w:val="center"/>
        <w:rPr>
          <w:rFonts w:ascii="宋体" w:hAnsi="宋体"/>
          <w:b/>
          <w:bCs/>
          <w:color w:val="000000"/>
          <w:sz w:val="36"/>
          <w:szCs w:val="36"/>
          <w:u w:val="single"/>
        </w:rPr>
      </w:pPr>
    </w:p>
    <w:p>
      <w:pPr>
        <w:pStyle w:val="10"/>
        <w:spacing w:line="360" w:lineRule="auto"/>
        <w:ind w:left="-630" w:leftChars="-300" w:firstLine="1358" w:firstLineChars="200"/>
        <w:jc w:val="center"/>
        <w:rPr>
          <w:rFonts w:ascii="宋体" w:hAnsi="宋体"/>
          <w:b/>
          <w:bCs/>
          <w:color w:val="000000"/>
          <w:spacing w:val="159"/>
          <w:sz w:val="36"/>
          <w:szCs w:val="36"/>
          <w:u w:val="single"/>
        </w:rPr>
      </w:pPr>
      <w:r>
        <w:rPr>
          <w:rFonts w:hint="eastAsia" w:ascii="宋体" w:hAnsi="宋体"/>
          <w:b/>
          <w:bCs/>
          <w:color w:val="000000"/>
          <w:spacing w:val="159"/>
          <w:sz w:val="36"/>
          <w:szCs w:val="36"/>
          <w:u w:val="single"/>
        </w:rPr>
        <w:t>达州市就业服务管理局</w:t>
      </w:r>
    </w:p>
    <w:p>
      <w:pPr>
        <w:pStyle w:val="10"/>
        <w:spacing w:line="360" w:lineRule="auto"/>
        <w:ind w:left="0" w:leftChars="0" w:firstLine="722" w:firstLineChars="200"/>
        <w:jc w:val="center"/>
        <w:rPr>
          <w:rFonts w:ascii="宋体" w:hAnsi="宋体"/>
          <w:b/>
          <w:bCs/>
          <w:color w:val="000000"/>
          <w:sz w:val="36"/>
          <w:szCs w:val="36"/>
          <w:u w:val="single"/>
        </w:rPr>
      </w:pPr>
      <w:r>
        <w:rPr>
          <w:rFonts w:hint="eastAsia" w:ascii="宋体" w:hAnsi="宋体"/>
          <w:b/>
          <w:bCs/>
          <w:color w:val="000000"/>
          <w:sz w:val="36"/>
          <w:szCs w:val="36"/>
          <w:u w:val="single"/>
        </w:rPr>
        <w:t>就业创业培训监管平台等保测评项目合同书</w:t>
      </w:r>
    </w:p>
    <w:p>
      <w:pPr>
        <w:rPr>
          <w:rFonts w:ascii="宋体" w:hAnsi="宋体"/>
        </w:rPr>
      </w:pPr>
    </w:p>
    <w:p>
      <w:pPr>
        <w:spacing w:line="360" w:lineRule="auto"/>
        <w:ind w:firstLine="480" w:firstLineChars="200"/>
        <w:jc w:val="righ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甲方</w:t>
      </w:r>
      <w:r>
        <w:rPr>
          <w:rFonts w:hint="eastAsia" w:ascii="宋体" w:hAnsi="宋体"/>
          <w:color w:val="000000"/>
          <w:sz w:val="24"/>
        </w:rPr>
        <w:t>）</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供应商（乙</w:t>
      </w:r>
      <w:r>
        <w:rPr>
          <w:rFonts w:ascii="宋体" w:hAnsi="宋体"/>
          <w:color w:val="000000"/>
          <w:sz w:val="24"/>
        </w:rPr>
        <w:t>方</w:t>
      </w:r>
      <w:r>
        <w:rPr>
          <w:rFonts w:hint="eastAsia" w:ascii="宋体" w:hAnsi="宋体"/>
          <w:color w:val="000000"/>
          <w:sz w:val="24"/>
        </w:rPr>
        <w:t>）</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ind w:firstLine="480" w:firstLineChars="200"/>
        <w:rPr>
          <w:rFonts w:ascii="宋体" w:hAnsi="宋体"/>
          <w:color w:val="000000"/>
          <w:sz w:val="24"/>
        </w:rPr>
      </w:pPr>
      <w:r>
        <w:rPr>
          <w:rFonts w:ascii="宋体" w:hAnsi="宋体"/>
          <w:color w:val="000000"/>
          <w:sz w:val="24"/>
        </w:rPr>
        <w:t>依据《中华人民共和国</w:t>
      </w:r>
      <w:r>
        <w:rPr>
          <w:rFonts w:hint="eastAsia" w:ascii="宋体" w:hAnsi="宋体"/>
          <w:color w:val="000000"/>
          <w:sz w:val="24"/>
        </w:rPr>
        <w:t>民法典》《</w:t>
      </w:r>
      <w:r>
        <w:rPr>
          <w:rFonts w:ascii="宋体" w:hAnsi="宋体"/>
          <w:color w:val="000000"/>
          <w:sz w:val="24"/>
        </w:rPr>
        <w:t>中华人民共和国政府采购法》</w:t>
      </w:r>
      <w:r>
        <w:rPr>
          <w:rFonts w:hint="eastAsia" w:ascii="宋体" w:hAnsi="宋体"/>
          <w:color w:val="000000"/>
          <w:sz w:val="24"/>
        </w:rPr>
        <w:t>与项目行业有关的法律法规，以及</w:t>
      </w:r>
      <w:r>
        <w:rPr>
          <w:rFonts w:hint="eastAsia" w:ascii="宋体" w:hAnsi="宋体"/>
          <w:color w:val="000000"/>
          <w:sz w:val="24"/>
          <w:u w:val="single"/>
        </w:rPr>
        <w:t>达州市就业服务管理局就业创业培训监管平台等保测评</w:t>
      </w:r>
      <w:r>
        <w:rPr>
          <w:rFonts w:ascii="宋体" w:hAnsi="宋体"/>
          <w:color w:val="000000"/>
          <w:sz w:val="24"/>
        </w:rPr>
        <w:t>的</w:t>
      </w:r>
      <w:r>
        <w:rPr>
          <w:rFonts w:hint="eastAsia" w:ascii="宋体" w:hAnsi="宋体"/>
          <w:color w:val="000000"/>
          <w:sz w:val="24"/>
        </w:rPr>
        <w:t>《招标公告》</w:t>
      </w:r>
      <w:r>
        <w:rPr>
          <w:rFonts w:ascii="宋体" w:hAnsi="宋体"/>
          <w:color w:val="000000"/>
          <w:sz w:val="24"/>
        </w:rPr>
        <w:t>，</w:t>
      </w:r>
      <w:r>
        <w:rPr>
          <w:rFonts w:hint="eastAsia" w:ascii="宋体" w:hAnsi="宋体"/>
          <w:color w:val="000000"/>
          <w:sz w:val="24"/>
        </w:rPr>
        <w:t>乙方的《投标文件》及《中标通知书》，甲、乙双方同意签订本合同。详细技术说明及其他有关合同项目的特定信息由合同附件予以说明，合同附件及本项目的《招标公告》《投标文件》《中标通知书》等均为本合同的组成部分。</w:t>
      </w:r>
      <w:r>
        <w:rPr>
          <w:rFonts w:ascii="宋体" w:hAnsi="宋体"/>
          <w:color w:val="000000"/>
          <w:sz w:val="24"/>
        </w:rPr>
        <w:t xml:space="preserve"> </w:t>
      </w:r>
    </w:p>
    <w:p>
      <w:pPr>
        <w:numPr>
          <w:ilvl w:val="0"/>
          <w:numId w:val="1"/>
        </w:numPr>
        <w:tabs>
          <w:tab w:val="clear" w:pos="1521"/>
        </w:tabs>
        <w:spacing w:line="360" w:lineRule="auto"/>
        <w:rPr>
          <w:rFonts w:ascii="宋体" w:hAnsi="宋体"/>
          <w:b/>
          <w:color w:val="000000"/>
          <w:sz w:val="24"/>
        </w:rPr>
      </w:pPr>
      <w:r>
        <w:rPr>
          <w:rFonts w:hint="eastAsia" w:ascii="宋体" w:hAnsi="宋体"/>
          <w:b/>
          <w:color w:val="000000"/>
          <w:sz w:val="24"/>
        </w:rPr>
        <w:t>项目基本情况</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根据等级保护测评的工作要求，测评范围覆盖安全管理中心、安全物理环境、安全通信网络、安全区域边界、安全计算环境、安全管理制度，以及云计算安全、移动互联安全、物联网安全、工控制系统安全等扩展方面的要求。</w:t>
      </w:r>
    </w:p>
    <w:p>
      <w:pPr>
        <w:tabs>
          <w:tab w:val="left" w:pos="1106"/>
          <w:tab w:val="left" w:pos="2211"/>
          <w:tab w:val="left" w:pos="3317"/>
          <w:tab w:val="left" w:pos="4423"/>
          <w:tab w:val="left" w:pos="5528"/>
          <w:tab w:val="left" w:pos="6634"/>
          <w:tab w:val="left" w:pos="7740"/>
        </w:tabs>
        <w:spacing w:line="460" w:lineRule="exact"/>
        <w:ind w:firstLine="420" w:firstLineChars="175"/>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具体服务内容包括：</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（1）协助业主单位进行信息系统的信息安全等级定级和备案工作。</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（2）差距测评，至少包括：</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 xml:space="preserve"> 安全技术测评。包括安全物理环境、安全通信网络、安全区域边界、安全计算环境、安全管理中心方面的安全测评。</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安全管理测评。包括安全管理制度、安全管理机构、安全管理人员、安全系统建设和安全系统运维五个方面的安全测评。</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以、整改意见。</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（3）协助完成整改工作。依据整改方案，为安全整改的各项工作提供技术咨询服务。</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bCs/>
          <w:sz w:val="24"/>
        </w:rPr>
      </w:pPr>
      <w:r>
        <w:rPr>
          <w:rFonts w:hint="eastAsia" w:ascii="宋体" w:hAnsi="宋体"/>
          <w:bCs/>
          <w:sz w:val="24"/>
        </w:rPr>
        <w:t>（4）等级测评，至少包括：按照等级保护相关标准对系统从安全技术、安全管理等方面进行等级测评工作。</w:t>
      </w:r>
    </w:p>
    <w:p>
      <w:pPr>
        <w:numPr>
          <w:ilvl w:val="0"/>
          <w:numId w:val="1"/>
        </w:numPr>
        <w:tabs>
          <w:tab w:val="clear" w:pos="1521"/>
        </w:tabs>
        <w:spacing w:line="360" w:lineRule="auto"/>
        <w:rPr>
          <w:rFonts w:ascii="宋体" w:hAnsi="宋体"/>
          <w:b/>
          <w:color w:val="000000"/>
          <w:sz w:val="24"/>
        </w:rPr>
      </w:pPr>
      <w:r>
        <w:rPr>
          <w:rFonts w:hint="eastAsia" w:ascii="宋体" w:hAnsi="宋体"/>
          <w:b/>
          <w:color w:val="000000"/>
          <w:sz w:val="24"/>
        </w:rPr>
        <w:t>合同期限</w:t>
      </w:r>
    </w:p>
    <w:p>
      <w:pPr>
        <w:spacing w:line="360" w:lineRule="auto"/>
        <w:ind w:firstLine="480" w:firstLineChars="200"/>
        <w:rPr>
          <w:rFonts w:ascii="宋体" w:hAnsi="宋体"/>
          <w:color w:val="000000"/>
          <w:sz w:val="24"/>
        </w:rPr>
      </w:pPr>
      <w:r>
        <w:rPr>
          <w:rFonts w:hint="eastAsia" w:ascii="宋体" w:hAnsi="宋体"/>
          <w:color w:val="000000"/>
          <w:sz w:val="24"/>
        </w:rPr>
        <w:t>自合同签订之日起乙方需在30日内完成初测，如甲方网络系统不需要整改，乙方自出具初测报告后30日内出具符合甲方系统现状的《网络安全等级保护测评报告》报告之日止，如甲方网络系统需整改，则甲方根据乙方提供的《整改建议》要求，30日内完成整改后，乙方30日内完成复测并出具符合甲方系统现状的《网络安全等级保护测评报告》报告。</w:t>
      </w:r>
    </w:p>
    <w:p>
      <w:pPr>
        <w:numPr>
          <w:ilvl w:val="0"/>
          <w:numId w:val="1"/>
        </w:numPr>
        <w:tabs>
          <w:tab w:val="clear" w:pos="1521"/>
        </w:tabs>
        <w:spacing w:line="360" w:lineRule="auto"/>
        <w:rPr>
          <w:rFonts w:ascii="宋体" w:hAnsi="宋体"/>
          <w:b/>
          <w:color w:val="000000"/>
          <w:sz w:val="24"/>
        </w:rPr>
      </w:pPr>
      <w:bookmarkStart w:id="0" w:name="_Toc225654644"/>
      <w:bookmarkStart w:id="1" w:name="_Toc239568418"/>
      <w:bookmarkStart w:id="2" w:name="_Toc286993786"/>
      <w:bookmarkStart w:id="3" w:name="_Toc237145406"/>
      <w:bookmarkStart w:id="4" w:name="_Toc239233914"/>
      <w:bookmarkStart w:id="5" w:name="_Toc247334841"/>
      <w:bookmarkStart w:id="6" w:name="_Toc251768862"/>
      <w:bookmarkStart w:id="7" w:name="_Toc185395249"/>
      <w:bookmarkStart w:id="8" w:name="_Toc283019214"/>
      <w:bookmarkStart w:id="9" w:name="_Toc225244852"/>
      <w:bookmarkStart w:id="10" w:name="_Toc211854449"/>
      <w:bookmarkStart w:id="11" w:name="_Toc232492928"/>
      <w:bookmarkStart w:id="12" w:name="_Toc238984975"/>
      <w:bookmarkStart w:id="13" w:name="_Toc212019594"/>
      <w:bookmarkStart w:id="14" w:name="_Toc241833903"/>
      <w:bookmarkStart w:id="15" w:name="_Toc225670751"/>
      <w:bookmarkStart w:id="16" w:name="_Toc282696226"/>
      <w:bookmarkStart w:id="17" w:name="_Toc211911348"/>
      <w:r>
        <w:rPr>
          <w:rFonts w:hint="eastAsia" w:ascii="宋体" w:hAnsi="宋体"/>
          <w:b/>
          <w:color w:val="000000"/>
          <w:sz w:val="24"/>
        </w:rPr>
        <w:t>服务内容与质量标准</w:t>
      </w:r>
    </w:p>
    <w:p>
      <w:pPr>
        <w:spacing w:line="460" w:lineRule="exact"/>
        <w:ind w:firstLine="420" w:firstLineChars="175"/>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据国家关于信息安全等级保护制度落实的相关要求，对相关信息系统开展安全等级测评工作，以指导安全整改，提高信息系统的安全防护能力。</w:t>
      </w:r>
    </w:p>
    <w:p>
      <w:pPr>
        <w:spacing w:line="460" w:lineRule="exact"/>
        <w:ind w:firstLine="420" w:firstLineChars="175"/>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本次安全等级测评项目的服务范围包括以下信息系统：</w:t>
      </w:r>
    </w:p>
    <w:tbl>
      <w:tblPr>
        <w:tblStyle w:val="2"/>
        <w:tblW w:w="8021" w:type="dxa"/>
        <w:jc w:val="center"/>
        <w:tblLayout w:type="fixed"/>
        <w:tblCellMar>
          <w:top w:w="0" w:type="dxa"/>
          <w:left w:w="108" w:type="dxa"/>
          <w:bottom w:w="0" w:type="dxa"/>
          <w:right w:w="108" w:type="dxa"/>
        </w:tblCellMar>
      </w:tblPr>
      <w:tblGrid>
        <w:gridCol w:w="1392"/>
        <w:gridCol w:w="3654"/>
        <w:gridCol w:w="1111"/>
        <w:gridCol w:w="1864"/>
      </w:tblGrid>
      <w:tr>
        <w:tblPrEx>
          <w:tblCellMar>
            <w:top w:w="0" w:type="dxa"/>
            <w:left w:w="108" w:type="dxa"/>
            <w:bottom w:w="0" w:type="dxa"/>
            <w:right w:w="108" w:type="dxa"/>
          </w:tblCellMar>
        </w:tblPrEx>
        <w:trPr>
          <w:trHeight w:val="523"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z w:val="24"/>
              </w:rPr>
            </w:pPr>
            <w:r>
              <w:rPr>
                <w:rFonts w:hint="eastAsia" w:ascii="宋体" w:hAnsi="宋体"/>
                <w:sz w:val="24"/>
              </w:rPr>
              <w:t>序号</w:t>
            </w:r>
          </w:p>
        </w:tc>
        <w:tc>
          <w:tcPr>
            <w:tcW w:w="3654" w:type="dxa"/>
            <w:tcBorders>
              <w:top w:val="single" w:color="auto" w:sz="4" w:space="0"/>
              <w:left w:val="nil"/>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z w:val="24"/>
              </w:rPr>
            </w:pPr>
            <w:r>
              <w:rPr>
                <w:rFonts w:hint="eastAsia" w:ascii="宋体" w:hAnsi="宋体"/>
                <w:sz w:val="24"/>
              </w:rPr>
              <w:t>服务名称</w:t>
            </w:r>
          </w:p>
        </w:tc>
        <w:tc>
          <w:tcPr>
            <w:tcW w:w="1111" w:type="dxa"/>
            <w:tcBorders>
              <w:top w:val="single" w:color="auto" w:sz="4" w:space="0"/>
              <w:left w:val="nil"/>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z w:val="24"/>
              </w:rPr>
            </w:pPr>
            <w:r>
              <w:rPr>
                <w:rFonts w:hint="eastAsia" w:ascii="宋体" w:hAnsi="宋体"/>
                <w:sz w:val="24"/>
              </w:rPr>
              <w:t>定级</w:t>
            </w:r>
          </w:p>
        </w:tc>
        <w:tc>
          <w:tcPr>
            <w:tcW w:w="1864" w:type="dxa"/>
            <w:tcBorders>
              <w:top w:val="single" w:color="auto" w:sz="4" w:space="0"/>
              <w:left w:val="nil"/>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z w:val="24"/>
              </w:rPr>
            </w:pPr>
            <w:r>
              <w:rPr>
                <w:rFonts w:hint="eastAsia" w:ascii="宋体" w:hAnsi="宋体"/>
                <w:sz w:val="24"/>
              </w:rPr>
              <w:t>服务内容</w:t>
            </w:r>
          </w:p>
        </w:tc>
      </w:tr>
      <w:tr>
        <w:tblPrEx>
          <w:tblCellMar>
            <w:top w:w="0" w:type="dxa"/>
            <w:left w:w="108" w:type="dxa"/>
            <w:bottom w:w="0" w:type="dxa"/>
            <w:right w:w="108" w:type="dxa"/>
          </w:tblCellMar>
        </w:tblPrEx>
        <w:trPr>
          <w:trHeight w:val="272"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z w:val="24"/>
              </w:rPr>
            </w:pPr>
            <w:r>
              <w:rPr>
                <w:rFonts w:hint="eastAsia" w:ascii="宋体" w:hAnsi="宋体"/>
                <w:sz w:val="24"/>
              </w:rPr>
              <w:t>1</w:t>
            </w:r>
          </w:p>
        </w:tc>
        <w:tc>
          <w:tcPr>
            <w:tcW w:w="3654"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pacing w:val="-3"/>
              </w:rPr>
            </w:pPr>
            <w:r>
              <w:rPr>
                <w:rFonts w:hint="eastAsia" w:ascii="宋体" w:hAnsi="宋体"/>
                <w:spacing w:val="-3"/>
              </w:rPr>
              <w:t>达州市就业创业培训监管平台</w:t>
            </w:r>
          </w:p>
        </w:tc>
        <w:tc>
          <w:tcPr>
            <w:tcW w:w="1111"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pacing w:val="-5"/>
              </w:rPr>
            </w:pPr>
            <w:r>
              <w:rPr>
                <w:rFonts w:ascii="宋体" w:hAnsi="宋体"/>
                <w:spacing w:val="-5"/>
              </w:rPr>
              <w:t>三级</w:t>
            </w:r>
          </w:p>
        </w:tc>
        <w:tc>
          <w:tcPr>
            <w:tcW w:w="1864"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spacing w:val="-5"/>
              </w:rPr>
            </w:pPr>
            <w:r>
              <w:rPr>
                <w:rFonts w:hint="eastAsia" w:ascii="宋体" w:hAnsi="宋体"/>
                <w:spacing w:val="-5"/>
              </w:rPr>
              <w:t>等保测评每年一次</w:t>
            </w:r>
          </w:p>
        </w:tc>
      </w:tr>
    </w:tbl>
    <w:p>
      <w:pPr>
        <w:spacing w:after="100" w:afterAutospacing="1" w:line="360" w:lineRule="auto"/>
        <w:ind w:firstLine="417" w:firstLineChars="174"/>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如等保测评结论“差”，乙方根据《网络安全等级保护基本要求》等国家标准规范提供相应的整改建议书，甲方需参照自身定级标准，按照国家和公安部要求进行安全建设整改，在甲方整改过程中乙方提供技术咨询服务，甲方在整改期限内完成整改工作的乙方提供一次免费复测服务。</w:t>
      </w:r>
    </w:p>
    <w:p>
      <w:pPr>
        <w:spacing w:line="360" w:lineRule="auto"/>
        <w:ind w:firstLine="420"/>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等保整改周期：经乙方初测，如甲方网络系统需进行整改，根据四川省公安厅《关于进一步明确网络安全等级保护测评相关工作事宜的通知》的要求，整改周期为自乙方初次出具《整改建议》之日起30日内完成整改，若30日内甲方未整改完毕或甲方拒绝整改，乙方在保证测评真实性基础上根据甲方实际整改情况出具优、良、中、差结论的《网络安全等级保护测评报告》。</w:t>
      </w:r>
    </w:p>
    <w:p>
      <w:pPr>
        <w:spacing w:line="360" w:lineRule="auto"/>
        <w:ind w:firstLine="420"/>
        <w:rPr>
          <w:rFonts w:ascii="宋体" w:hAnsi="宋体"/>
          <w:color w:val="000000"/>
          <w:sz w:val="24"/>
        </w:rPr>
      </w:pPr>
      <w:r>
        <w:rPr>
          <w:rFonts w:hint="eastAsia" w:ascii="宋体" w:hAnsi="宋体"/>
          <w:color w:val="000000"/>
          <w:sz w:val="24"/>
        </w:rPr>
        <w:t>5.</w:t>
      </w:r>
      <w:r>
        <w:rPr>
          <w:rFonts w:ascii="宋体" w:hAnsi="宋体"/>
          <w:color w:val="000000"/>
          <w:sz w:val="24"/>
        </w:rPr>
        <w:t>质量标准</w:t>
      </w:r>
    </w:p>
    <w:p>
      <w:pPr>
        <w:pStyle w:val="22"/>
        <w:numPr>
          <w:ilvl w:val="0"/>
          <w:numId w:val="2"/>
        </w:numPr>
        <w:spacing w:line="460" w:lineRule="exact"/>
        <w:jc w:val="left"/>
        <w:rPr>
          <w:rFonts w:ascii="宋体" w:hAnsi="宋体"/>
          <w:sz w:val="24"/>
          <w:szCs w:val="24"/>
        </w:rPr>
      </w:pPr>
      <w:r>
        <w:rPr>
          <w:rFonts w:hint="eastAsia" w:ascii="宋体" w:hAnsi="宋体"/>
          <w:sz w:val="24"/>
          <w:szCs w:val="24"/>
        </w:rPr>
        <w:t>《中华人民共和国计算机信息系统安全保护条例》(国务院令147号)</w:t>
      </w:r>
    </w:p>
    <w:p>
      <w:pPr>
        <w:pStyle w:val="22"/>
        <w:numPr>
          <w:ilvl w:val="0"/>
          <w:numId w:val="2"/>
        </w:numPr>
        <w:spacing w:line="460" w:lineRule="exact"/>
        <w:jc w:val="left"/>
        <w:rPr>
          <w:rFonts w:ascii="宋体" w:hAnsi="宋体"/>
          <w:sz w:val="24"/>
          <w:szCs w:val="24"/>
        </w:rPr>
      </w:pPr>
      <w:r>
        <w:rPr>
          <w:rFonts w:hint="eastAsia" w:ascii="宋体" w:hAnsi="宋体"/>
          <w:sz w:val="24"/>
          <w:szCs w:val="24"/>
        </w:rPr>
        <w:t>《信息安全等级保护管理办法》（公通字[2007]43号</w:t>
      </w:r>
    </w:p>
    <w:p>
      <w:pPr>
        <w:pStyle w:val="22"/>
        <w:numPr>
          <w:ilvl w:val="0"/>
          <w:numId w:val="2"/>
        </w:numPr>
        <w:spacing w:line="460" w:lineRule="exact"/>
        <w:jc w:val="left"/>
        <w:rPr>
          <w:rFonts w:ascii="宋体" w:hAnsi="宋体"/>
          <w:sz w:val="24"/>
          <w:szCs w:val="24"/>
        </w:rPr>
      </w:pPr>
      <w:r>
        <w:rPr>
          <w:rFonts w:hint="eastAsia" w:ascii="宋体" w:hAnsi="宋体"/>
          <w:sz w:val="24"/>
          <w:szCs w:val="24"/>
        </w:rPr>
        <w:t>《计算机信息系统安全保护等级划分准则》（GB17859-1999）</w:t>
      </w:r>
    </w:p>
    <w:p>
      <w:pPr>
        <w:pStyle w:val="22"/>
        <w:numPr>
          <w:ilvl w:val="0"/>
          <w:numId w:val="2"/>
        </w:numPr>
        <w:spacing w:line="460" w:lineRule="exact"/>
        <w:jc w:val="left"/>
        <w:rPr>
          <w:rFonts w:ascii="宋体" w:hAnsi="宋体"/>
          <w:sz w:val="24"/>
          <w:szCs w:val="24"/>
        </w:rPr>
      </w:pPr>
      <w:r>
        <w:rPr>
          <w:rFonts w:hint="eastAsia" w:ascii="宋体" w:hAnsi="宋体"/>
          <w:sz w:val="24"/>
          <w:szCs w:val="24"/>
        </w:rPr>
        <w:t>《信息安全技术网络安全等级保护定级指南》（GB/T22240-2020）</w:t>
      </w:r>
    </w:p>
    <w:p>
      <w:pPr>
        <w:pStyle w:val="22"/>
        <w:numPr>
          <w:ilvl w:val="0"/>
          <w:numId w:val="2"/>
        </w:numPr>
        <w:spacing w:line="460" w:lineRule="exact"/>
        <w:jc w:val="left"/>
        <w:rPr>
          <w:rFonts w:ascii="宋体" w:hAnsi="宋体"/>
          <w:sz w:val="24"/>
          <w:szCs w:val="24"/>
        </w:rPr>
      </w:pPr>
      <w:r>
        <w:rPr>
          <w:rFonts w:hint="eastAsia" w:ascii="宋体" w:hAnsi="宋体"/>
          <w:sz w:val="24"/>
          <w:szCs w:val="24"/>
        </w:rPr>
        <w:t>《信息安全技术网络安全等级保护基本要求》（GB/T22239-2019)</w:t>
      </w:r>
    </w:p>
    <w:p>
      <w:pPr>
        <w:pStyle w:val="22"/>
        <w:numPr>
          <w:ilvl w:val="0"/>
          <w:numId w:val="2"/>
        </w:numPr>
        <w:spacing w:line="460" w:lineRule="exact"/>
        <w:jc w:val="left"/>
        <w:rPr>
          <w:rFonts w:ascii="宋体" w:hAnsi="宋体"/>
          <w:sz w:val="24"/>
          <w:szCs w:val="24"/>
        </w:rPr>
      </w:pPr>
      <w:r>
        <w:rPr>
          <w:rFonts w:hint="eastAsia" w:ascii="宋体" w:hAnsi="宋体"/>
          <w:sz w:val="24"/>
          <w:szCs w:val="24"/>
        </w:rPr>
        <w:t>《信息安全技术网络安全等级保护测评要求》（GB/T28448-2019）</w:t>
      </w:r>
    </w:p>
    <w:p>
      <w:pPr>
        <w:pStyle w:val="22"/>
        <w:numPr>
          <w:ilvl w:val="0"/>
          <w:numId w:val="2"/>
        </w:numPr>
        <w:spacing w:line="440" w:lineRule="exact"/>
        <w:jc w:val="left"/>
        <w:rPr>
          <w:rFonts w:ascii="宋体" w:hAnsi="宋体"/>
          <w:sz w:val="24"/>
          <w:szCs w:val="24"/>
        </w:rPr>
      </w:pPr>
      <w:r>
        <w:rPr>
          <w:rFonts w:hint="eastAsia" w:ascii="宋体" w:hAnsi="宋体"/>
          <w:sz w:val="24"/>
          <w:szCs w:val="24"/>
        </w:rPr>
        <w:t>《信息安全技术网络安全等级保护测评过程指南》（GB/T28449-2018）</w:t>
      </w:r>
    </w:p>
    <w:p>
      <w:pPr>
        <w:pStyle w:val="22"/>
        <w:numPr>
          <w:ilvl w:val="0"/>
          <w:numId w:val="2"/>
        </w:numPr>
        <w:spacing w:line="440" w:lineRule="exact"/>
        <w:jc w:val="left"/>
        <w:rPr>
          <w:rFonts w:ascii="宋体" w:hAnsi="宋体"/>
          <w:sz w:val="24"/>
          <w:szCs w:val="24"/>
        </w:rPr>
      </w:pPr>
      <w:r>
        <w:rPr>
          <w:rFonts w:hint="eastAsia" w:ascii="宋体" w:hAnsi="宋体"/>
          <w:sz w:val="24"/>
          <w:szCs w:val="24"/>
        </w:rPr>
        <w:t>《信息安全技术信息安全风险评估规范》（GB/T20984-2015）</w:t>
      </w:r>
    </w:p>
    <w:p>
      <w:pPr>
        <w:pStyle w:val="22"/>
        <w:numPr>
          <w:ilvl w:val="0"/>
          <w:numId w:val="2"/>
        </w:numPr>
        <w:spacing w:line="440" w:lineRule="exact"/>
        <w:jc w:val="left"/>
        <w:rPr>
          <w:rFonts w:ascii="宋体" w:hAnsi="宋体"/>
          <w:sz w:val="24"/>
          <w:szCs w:val="24"/>
        </w:rPr>
      </w:pPr>
      <w:r>
        <w:rPr>
          <w:rFonts w:ascii="宋体" w:hAnsi="宋体"/>
          <w:sz w:val="24"/>
          <w:szCs w:val="24"/>
        </w:rPr>
        <w:t>《中华人民共和国网络安全法》</w:t>
      </w:r>
    </w:p>
    <w:p>
      <w:pPr>
        <w:pStyle w:val="22"/>
        <w:numPr>
          <w:ilvl w:val="0"/>
          <w:numId w:val="2"/>
        </w:numPr>
        <w:spacing w:line="440" w:lineRule="exact"/>
        <w:jc w:val="left"/>
        <w:rPr>
          <w:rFonts w:ascii="宋体" w:hAnsi="宋体"/>
          <w:sz w:val="24"/>
          <w:szCs w:val="24"/>
        </w:rPr>
      </w:pPr>
      <w:r>
        <w:rPr>
          <w:rFonts w:ascii="宋体" w:hAnsi="宋体"/>
          <w:sz w:val="24"/>
          <w:szCs w:val="24"/>
        </w:rPr>
        <w:t>《信息安全技术 计算机信息系统安全保护等级划分准则》GB 17859-1999</w:t>
      </w:r>
    </w:p>
    <w:p>
      <w:pPr>
        <w:numPr>
          <w:ilvl w:val="0"/>
          <w:numId w:val="1"/>
        </w:numPr>
        <w:tabs>
          <w:tab w:val="clear" w:pos="1521"/>
        </w:tabs>
        <w:spacing w:line="360" w:lineRule="auto"/>
        <w:rPr>
          <w:rFonts w:ascii="宋体" w:hAnsi="宋体"/>
          <w:b/>
          <w:color w:val="000000"/>
          <w:sz w:val="24"/>
        </w:rPr>
      </w:pPr>
      <w:r>
        <w:rPr>
          <w:rFonts w:hint="eastAsia" w:ascii="宋体" w:hAnsi="宋体"/>
          <w:b/>
          <w:color w:val="000000"/>
          <w:sz w:val="24"/>
        </w:rPr>
        <w:t>服务费用及支付方式</w:t>
      </w:r>
    </w:p>
    <w:p>
      <w:pPr>
        <w:spacing w:line="360" w:lineRule="auto"/>
        <w:ind w:firstLine="420" w:firstLineChars="175"/>
        <w:rPr>
          <w:rFonts w:ascii="宋体" w:hAnsi="宋体"/>
          <w:color w:val="000000"/>
          <w:sz w:val="24"/>
        </w:rPr>
      </w:pPr>
      <w:r>
        <w:rPr>
          <w:rFonts w:ascii="宋体" w:hAnsi="宋体"/>
          <w:color w:val="000000"/>
          <w:sz w:val="24"/>
        </w:rPr>
        <w:t>1.合同总价为人民币大写</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整</w:t>
      </w:r>
      <w:r>
        <w:rPr>
          <w:rFonts w:ascii="宋体" w:hAnsi="宋体"/>
          <w:color w:val="000000"/>
          <w:sz w:val="24"/>
        </w:rPr>
        <w:t>，即RMB</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rPr>
        <w:t>元；合同</w:t>
      </w:r>
      <w:r>
        <w:rPr>
          <w:rFonts w:hint="eastAsia" w:ascii="宋体" w:hAnsi="宋体"/>
          <w:color w:val="000000"/>
          <w:sz w:val="24"/>
        </w:rPr>
        <w:t>总价</w:t>
      </w:r>
      <w:r>
        <w:rPr>
          <w:rFonts w:ascii="宋体" w:hAnsi="宋体"/>
          <w:color w:val="000000"/>
          <w:sz w:val="24"/>
        </w:rPr>
        <w:t>是甲方为了完成本合同流程以及就达到合同目的所需支付的全部费用（含税），</w:t>
      </w:r>
      <w:r>
        <w:rPr>
          <w:rFonts w:hint="eastAsia" w:ascii="宋体" w:hAnsi="宋体"/>
          <w:color w:val="000000"/>
          <w:sz w:val="24"/>
        </w:rPr>
        <w:t>除此之外</w:t>
      </w:r>
      <w:r>
        <w:rPr>
          <w:rFonts w:ascii="宋体" w:hAnsi="宋体"/>
          <w:color w:val="000000"/>
          <w:sz w:val="24"/>
        </w:rPr>
        <w:t>甲方无需再向乙方及第三方支付其他任何费用</w:t>
      </w:r>
      <w:r>
        <w:rPr>
          <w:rFonts w:hint="eastAsia" w:ascii="宋体" w:hAnsi="宋体"/>
          <w:color w:val="000000"/>
          <w:sz w:val="24"/>
        </w:rPr>
        <w:t>。</w:t>
      </w:r>
    </w:p>
    <w:p>
      <w:pPr>
        <w:spacing w:line="360" w:lineRule="auto"/>
        <w:ind w:firstLine="420" w:firstLineChars="175"/>
        <w:rPr>
          <w:rFonts w:ascii="宋体" w:hAnsi="宋体"/>
          <w:color w:val="000000"/>
          <w:sz w:val="24"/>
        </w:rPr>
      </w:pPr>
      <w:r>
        <w:rPr>
          <w:rFonts w:ascii="宋体" w:hAnsi="宋体"/>
          <w:color w:val="000000"/>
          <w:sz w:val="24"/>
        </w:rPr>
        <w:t>2.付款方式：</w:t>
      </w:r>
      <w:r>
        <w:rPr>
          <w:rFonts w:hint="eastAsia" w:ascii="宋体" w:hAnsi="宋体"/>
          <w:sz w:val="24"/>
        </w:rPr>
        <w:t>乙方</w:t>
      </w:r>
      <w:r>
        <w:rPr>
          <w:rFonts w:ascii="宋体" w:hAnsi="宋体"/>
          <w:sz w:val="24"/>
        </w:rPr>
        <w:t>出具</w:t>
      </w:r>
      <w:r>
        <w:rPr>
          <w:rFonts w:hint="eastAsia" w:ascii="宋体" w:hAnsi="宋体"/>
          <w:color w:val="000000"/>
          <w:sz w:val="24"/>
        </w:rPr>
        <w:t>《网络安全等级保护测评报告》</w:t>
      </w:r>
      <w:r>
        <w:rPr>
          <w:rFonts w:ascii="宋体" w:hAnsi="宋体"/>
          <w:sz w:val="24"/>
        </w:rPr>
        <w:t xml:space="preserve">告后 </w:t>
      </w:r>
      <w:r>
        <w:rPr>
          <w:rFonts w:hint="eastAsia" w:ascii="宋体" w:hAnsi="宋体"/>
          <w:sz w:val="24"/>
        </w:rPr>
        <w:t>30</w:t>
      </w:r>
      <w:r>
        <w:rPr>
          <w:rFonts w:ascii="宋体" w:hAnsi="宋体"/>
          <w:sz w:val="24"/>
        </w:rPr>
        <w:t xml:space="preserve"> 日内支付合同金额</w:t>
      </w:r>
      <w:r>
        <w:rPr>
          <w:rFonts w:ascii="宋体" w:hAnsi="宋体"/>
          <w:color w:val="000000"/>
          <w:sz w:val="24"/>
        </w:rPr>
        <w:t>人民币大写</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整</w:t>
      </w:r>
      <w:r>
        <w:rPr>
          <w:rFonts w:ascii="宋体" w:hAnsi="宋体"/>
          <w:color w:val="000000"/>
          <w:sz w:val="24"/>
        </w:rPr>
        <w:t>，即RMB</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rPr>
        <w:t>元</w:t>
      </w:r>
      <w:r>
        <w:rPr>
          <w:rFonts w:ascii="宋体" w:hAnsi="宋体"/>
          <w:sz w:val="24"/>
        </w:rPr>
        <w:t>。</w:t>
      </w:r>
      <w:r>
        <w:rPr>
          <w:rFonts w:hint="eastAsia" w:ascii="宋体" w:hAnsi="宋体"/>
          <w:sz w:val="24"/>
        </w:rPr>
        <w:t>付款前乙方</w:t>
      </w:r>
      <w:r>
        <w:rPr>
          <w:rFonts w:ascii="宋体" w:hAnsi="宋体"/>
          <w:sz w:val="24"/>
        </w:rPr>
        <w:t>须向采购人提</w:t>
      </w:r>
      <w:r>
        <w:rPr>
          <w:rFonts w:hint="eastAsia" w:ascii="宋体" w:hAnsi="宋体"/>
          <w:sz w:val="24"/>
        </w:rPr>
        <w:t>供等额有效且符合采购人财务管理要求的增值税发票作为付款结算依据，如乙方迟延提供发票，则付款顺延，且甲方不承担逾期付款违约责任。如因财政政策的调整导致的付款延后，甲方不承担逾期付款的违约责任。</w:t>
      </w:r>
    </w:p>
    <w:p>
      <w:pPr>
        <w:numPr>
          <w:ilvl w:val="0"/>
          <w:numId w:val="1"/>
        </w:numPr>
        <w:tabs>
          <w:tab w:val="clear" w:pos="1521"/>
        </w:tabs>
        <w:spacing w:line="480" w:lineRule="exact"/>
        <w:ind w:hanging="1101"/>
        <w:rPr>
          <w:rFonts w:ascii="宋体" w:hAnsi="宋体"/>
          <w:b/>
          <w:color w:val="000000"/>
          <w:sz w:val="24"/>
        </w:rPr>
      </w:pPr>
      <w:r>
        <w:rPr>
          <w:rFonts w:hint="eastAsia" w:ascii="宋体" w:hAnsi="宋体"/>
          <w:b/>
          <w:color w:val="000000"/>
          <w:sz w:val="24"/>
        </w:rPr>
        <w:t>知识产权</w:t>
      </w:r>
    </w:p>
    <w:p>
      <w:pPr>
        <w:pStyle w:val="19"/>
        <w:numPr>
          <w:ilvl w:val="0"/>
          <w:numId w:val="3"/>
        </w:numPr>
        <w:tabs>
          <w:tab w:val="left" w:pos="0"/>
        </w:tabs>
        <w:spacing w:line="480" w:lineRule="exact"/>
        <w:ind w:left="0" w:firstLine="420" w:firstLineChars="0"/>
        <w:rPr>
          <w:rFonts w:ascii="宋体" w:hAnsi="宋体"/>
          <w:color w:val="000000"/>
          <w:sz w:val="24"/>
        </w:rPr>
      </w:pPr>
      <w:r>
        <w:rPr>
          <w:rFonts w:hint="eastAsia" w:ascii="宋体" w:hAnsi="宋体"/>
          <w:color w:val="000000"/>
          <w:sz w:val="24"/>
        </w:rPr>
        <w:t>乙方应保证所提供的服务或其任何一部分均不会侵犯任何第三方的专利权、商标权或著作权等知识产权。由此</w:t>
      </w:r>
      <w:r>
        <w:rPr>
          <w:rFonts w:ascii="宋体" w:hAnsi="宋体"/>
          <w:color w:val="000000"/>
          <w:sz w:val="24"/>
        </w:rPr>
        <w:t>引发的知识产权纠纷由乙方负责处理并承担全部法律责任。</w:t>
      </w:r>
    </w:p>
    <w:p>
      <w:pPr>
        <w:pStyle w:val="19"/>
        <w:tabs>
          <w:tab w:val="left" w:pos="0"/>
        </w:tabs>
        <w:spacing w:line="480" w:lineRule="exact"/>
        <w:ind w:firstLine="480"/>
        <w:rPr>
          <w:rFonts w:ascii="宋体" w:hAnsi="宋体"/>
          <w:color w:val="000000"/>
          <w:sz w:val="24"/>
        </w:rPr>
      </w:pPr>
      <w:r>
        <w:rPr>
          <w:rFonts w:hint="eastAsia" w:ascii="宋体" w:hAnsi="宋体"/>
          <w:color w:val="000000"/>
          <w:sz w:val="24"/>
        </w:rPr>
        <w:t>2. 甲乙共同享有服务中产生的知识产权成果。</w:t>
      </w:r>
    </w:p>
    <w:p>
      <w:pPr>
        <w:numPr>
          <w:ilvl w:val="0"/>
          <w:numId w:val="1"/>
        </w:numPr>
        <w:tabs>
          <w:tab w:val="clear" w:pos="1521"/>
        </w:tabs>
        <w:spacing w:line="360" w:lineRule="auto"/>
        <w:rPr>
          <w:rFonts w:ascii="宋体" w:hAnsi="宋体"/>
          <w:b/>
          <w:color w:val="000000"/>
          <w:sz w:val="24"/>
        </w:rPr>
      </w:pPr>
      <w:r>
        <w:rPr>
          <w:rFonts w:hint="eastAsia" w:ascii="宋体" w:hAnsi="宋体"/>
          <w:b/>
          <w:color w:val="000000"/>
          <w:sz w:val="24"/>
        </w:rPr>
        <w:t>无产权瑕疵条款</w:t>
      </w:r>
    </w:p>
    <w:p>
      <w:pPr>
        <w:tabs>
          <w:tab w:val="left" w:pos="1440"/>
        </w:tabs>
        <w:spacing w:line="360" w:lineRule="auto"/>
        <w:ind w:firstLine="480" w:firstLineChars="200"/>
        <w:rPr>
          <w:rFonts w:ascii="宋体" w:hAnsi="宋体"/>
          <w:color w:val="000000"/>
          <w:sz w:val="24"/>
        </w:rPr>
      </w:pPr>
      <w:r>
        <w:rPr>
          <w:rFonts w:hint="eastAsia" w:ascii="宋体" w:hAnsi="宋体"/>
          <w:color w:val="000000"/>
          <w:sz w:val="24"/>
        </w:rPr>
        <w:t>乙方保证所提供的服务的所有权完全属于乙方且无任何抵押、查封等产权瑕疵。如有产权瑕疵的，视为乙方违约。乙方应负担由此而产生的损失。</w:t>
      </w:r>
    </w:p>
    <w:p>
      <w:pPr>
        <w:spacing w:line="360" w:lineRule="auto"/>
        <w:ind w:left="426"/>
        <w:rPr>
          <w:rFonts w:ascii="宋体" w:hAnsi="宋体"/>
          <w:b/>
          <w:color w:val="000000"/>
          <w:sz w:val="24"/>
        </w:rPr>
      </w:pPr>
      <w:r>
        <w:rPr>
          <w:rFonts w:hint="eastAsia" w:ascii="宋体" w:hAnsi="宋体"/>
          <w:b/>
          <w:color w:val="000000"/>
          <w:sz w:val="24"/>
        </w:rPr>
        <w:t xml:space="preserve">第七条    </w:t>
      </w:r>
      <w:r>
        <w:rPr>
          <w:rFonts w:ascii="宋体" w:hAnsi="宋体"/>
          <w:b/>
          <w:color w:val="000000"/>
          <w:sz w:val="24"/>
        </w:rPr>
        <w:t>甲方的权利和义务</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1．</w:t>
      </w:r>
      <w:r>
        <w:rPr>
          <w:rFonts w:ascii="宋体" w:hAnsi="宋体"/>
          <w:bCs/>
          <w:color w:val="000000"/>
          <w:sz w:val="24"/>
        </w:rPr>
        <w:t>甲方有权对合同规定范围内</w:t>
      </w:r>
      <w:r>
        <w:rPr>
          <w:rFonts w:hint="eastAsia" w:ascii="宋体" w:hAnsi="宋体"/>
          <w:bCs/>
          <w:color w:val="000000"/>
          <w:sz w:val="24"/>
        </w:rPr>
        <w:t>乙方的服务行为</w:t>
      </w:r>
      <w:r>
        <w:rPr>
          <w:rFonts w:ascii="宋体" w:hAnsi="宋体"/>
          <w:bCs/>
          <w:color w:val="000000"/>
          <w:sz w:val="24"/>
        </w:rPr>
        <w:t>进行监督和检查，拥有监管权。有权定期核对乙方提供服务所配备的人员数量。对甲方认为不合理的部分有权</w:t>
      </w:r>
      <w:r>
        <w:rPr>
          <w:rFonts w:hint="eastAsia" w:ascii="宋体" w:hAnsi="宋体"/>
          <w:bCs/>
          <w:color w:val="000000"/>
          <w:sz w:val="24"/>
        </w:rPr>
        <w:t>下达整改通知书，并</w:t>
      </w:r>
      <w:r>
        <w:rPr>
          <w:rFonts w:ascii="宋体" w:hAnsi="宋体"/>
          <w:bCs/>
          <w:color w:val="000000"/>
          <w:sz w:val="24"/>
        </w:rPr>
        <w:t>要求乙方</w:t>
      </w:r>
      <w:r>
        <w:rPr>
          <w:rFonts w:hint="eastAsia" w:ascii="宋体" w:hAnsi="宋体"/>
          <w:bCs/>
          <w:color w:val="000000"/>
          <w:sz w:val="24"/>
        </w:rPr>
        <w:t>限期整改，乙方应当按要求予以整改</w:t>
      </w:r>
      <w:r>
        <w:rPr>
          <w:rFonts w:ascii="宋体" w:hAnsi="宋体"/>
          <w:bCs/>
          <w:color w:val="000000"/>
          <w:sz w:val="24"/>
        </w:rPr>
        <w:t>。</w:t>
      </w:r>
    </w:p>
    <w:p>
      <w:pPr>
        <w:spacing w:line="360" w:lineRule="auto"/>
        <w:ind w:firstLine="480" w:firstLineChars="20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w:t>
      </w:r>
      <w:r>
        <w:rPr>
          <w:rFonts w:ascii="宋体" w:hAnsi="宋体"/>
          <w:bCs/>
          <w:color w:val="000000"/>
          <w:sz w:val="24"/>
        </w:rPr>
        <w:t>负责检查监督乙方管理工作的实施及制度的执行情况。</w:t>
      </w:r>
    </w:p>
    <w:p>
      <w:pPr>
        <w:spacing w:line="360" w:lineRule="auto"/>
        <w:ind w:firstLine="480" w:firstLineChars="200"/>
        <w:jc w:val="left"/>
        <w:rPr>
          <w:rFonts w:ascii="宋体" w:hAnsi="宋体"/>
          <w:bCs/>
          <w:color w:val="000000"/>
          <w:sz w:val="24"/>
        </w:rPr>
      </w:pPr>
      <w:r>
        <w:rPr>
          <w:rFonts w:ascii="宋体" w:hAnsi="宋体"/>
          <w:bCs/>
          <w:color w:val="000000"/>
          <w:sz w:val="24"/>
        </w:rPr>
        <w:t>3</w:t>
      </w:r>
      <w:r>
        <w:rPr>
          <w:rFonts w:hint="eastAsia" w:ascii="宋体" w:hAnsi="宋体"/>
          <w:bCs/>
          <w:color w:val="000000"/>
          <w:sz w:val="24"/>
        </w:rPr>
        <w:t>．</w:t>
      </w:r>
      <w:r>
        <w:rPr>
          <w:rFonts w:ascii="宋体" w:hAnsi="宋体"/>
          <w:bCs/>
          <w:color w:val="000000"/>
          <w:sz w:val="24"/>
        </w:rPr>
        <w:t>根据本合同规定，按时向乙方支付应付</w:t>
      </w:r>
      <w:r>
        <w:rPr>
          <w:rFonts w:hint="eastAsia" w:ascii="宋体" w:hAnsi="宋体"/>
          <w:bCs/>
          <w:color w:val="000000"/>
          <w:sz w:val="24"/>
        </w:rPr>
        <w:t>服务费用</w:t>
      </w:r>
      <w:r>
        <w:rPr>
          <w:rFonts w:ascii="宋体" w:hAnsi="宋体"/>
          <w:bCs/>
          <w:color w:val="000000"/>
          <w:sz w:val="24"/>
        </w:rPr>
        <w:t>。</w:t>
      </w:r>
    </w:p>
    <w:p>
      <w:pPr>
        <w:spacing w:line="360" w:lineRule="auto"/>
        <w:ind w:firstLine="480" w:firstLineChars="200"/>
        <w:jc w:val="left"/>
        <w:rPr>
          <w:rFonts w:ascii="宋体" w:hAnsi="宋体"/>
          <w:bCs/>
          <w:color w:val="000000"/>
          <w:sz w:val="24"/>
        </w:rPr>
      </w:pPr>
      <w:r>
        <w:rPr>
          <w:rFonts w:ascii="宋体" w:hAnsi="宋体"/>
          <w:bCs/>
          <w:color w:val="000000"/>
          <w:sz w:val="24"/>
        </w:rPr>
        <w:t>4</w:t>
      </w:r>
      <w:r>
        <w:rPr>
          <w:rFonts w:hint="eastAsia" w:ascii="宋体" w:hAnsi="宋体"/>
          <w:bCs/>
          <w:color w:val="000000"/>
          <w:sz w:val="24"/>
        </w:rPr>
        <w:t>．</w:t>
      </w:r>
      <w:r>
        <w:rPr>
          <w:rFonts w:ascii="宋体" w:hAnsi="宋体"/>
          <w:bCs/>
          <w:color w:val="000000"/>
          <w:sz w:val="24"/>
        </w:rPr>
        <w:t>国家法律、法规所规定由甲方承担的其它责任。</w:t>
      </w:r>
    </w:p>
    <w:p>
      <w:pPr>
        <w:spacing w:after="100" w:afterAutospacing="1"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．为保证测评有关活动的正常开展，甲方须为乙方提供必要的配合与支持，包括但不限于：</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现场办公环境、场地，调查和统计评估所包含的信息资产统计表，其中必须包括物理环境、终端、网络设备、主机、应用软件、业务系统、数据、人员、标准流程，明确现有状况、配置情况和管理情况，如主机系统，需要明确其平台、版本、补丁等基本情况外，还需明确开放端口、服务和进程等配置管理信息。</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现有安全系统调查工作包括明确现有安全设备(包括防火墙、防病毒系统、入侵检测系统、安全扫描系统、账号口令集中管理系统等)的部署情况和使用情况。</w:t>
      </w:r>
    </w:p>
    <w:p>
      <w:pPr>
        <w:spacing w:after="100" w:afterAutospacing="1"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．甲方应在合同签订后，测评工作开始前 3 个工作日，向乙方提供进行测评活动范围内所涉及的文档资料、图纸、技术资料和相关设备的登录方式等。</w:t>
      </w:r>
    </w:p>
    <w:p>
      <w:pPr>
        <w:spacing w:after="100" w:afterAutospacing="1"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．本合同期内，若甲方安排第三方对本合同约定范围内硬件设备实施改造、修理、调试、更换及系统变更的，应在实施前书面通知乙方，并在实施结束时通知乙方对设备进行检查测评。</w:t>
      </w:r>
    </w:p>
    <w:p>
      <w:pPr>
        <w:spacing w:after="100" w:afterAutospacing="1"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．甲方要求提供超越本合同所列的服务内容时，则另行签订有偿服务合同。</w:t>
      </w:r>
    </w:p>
    <w:p>
      <w:pPr>
        <w:spacing w:after="100" w:afterAutospacing="1"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如等保测评结果为“中”及以上甲方应采取持续改进措施，保障其信息系统安全。如测评结果为“差”甲方应出具整改情况说明并报备案受理机关，同时按照《等级保护基本要求》等有关国家、行业标准规范实施整改。</w:t>
      </w:r>
    </w:p>
    <w:p>
      <w:pPr>
        <w:spacing w:after="100" w:afterAutospacing="1"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按照《四川省网络安全等级保护测评机构管理办法》要求，甲方应在乙方完成测评后对测评服务情况进行评价，填写《网络安全等级保护测评服务情况评价表》交备案受理机关和四川省网络安全等级保护工作领导小组办公室。</w:t>
      </w:r>
    </w:p>
    <w:p>
      <w:pPr>
        <w:spacing w:after="100" w:afterAutospacing="1"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如因甲方原因导致服务期限的顺延、测评报告的失实或乙方不能如期完工的，因此造成的损失和责任由甲方自行负责，乙方不承担责任。</w:t>
      </w:r>
    </w:p>
    <w:p>
      <w:pPr>
        <w:spacing w:line="360" w:lineRule="auto"/>
        <w:ind w:left="426"/>
        <w:rPr>
          <w:rFonts w:ascii="宋体" w:hAnsi="宋体"/>
          <w:b/>
          <w:color w:val="000000"/>
          <w:sz w:val="24"/>
        </w:rPr>
      </w:pPr>
      <w:r>
        <w:rPr>
          <w:rFonts w:hint="eastAsia" w:ascii="宋体" w:hAnsi="宋体"/>
          <w:b/>
          <w:color w:val="000000"/>
          <w:sz w:val="24"/>
        </w:rPr>
        <w:t xml:space="preserve">第八条   </w:t>
      </w:r>
      <w:r>
        <w:rPr>
          <w:rFonts w:ascii="宋体" w:hAnsi="宋体"/>
          <w:b/>
          <w:color w:val="000000"/>
          <w:sz w:val="24"/>
        </w:rPr>
        <w:t>乙方的权利和义务</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1．</w:t>
      </w:r>
      <w:r>
        <w:rPr>
          <w:rFonts w:ascii="宋体" w:hAnsi="宋体"/>
          <w:bCs/>
          <w:color w:val="000000"/>
          <w:sz w:val="24"/>
        </w:rPr>
        <w:t>对本合同规定的委托</w:t>
      </w:r>
      <w:r>
        <w:rPr>
          <w:rFonts w:hint="eastAsia" w:ascii="宋体" w:hAnsi="宋体"/>
          <w:bCs/>
          <w:color w:val="000000"/>
          <w:sz w:val="24"/>
        </w:rPr>
        <w:t>服务</w:t>
      </w:r>
      <w:r>
        <w:rPr>
          <w:rFonts w:ascii="宋体" w:hAnsi="宋体"/>
          <w:bCs/>
          <w:color w:val="000000"/>
          <w:sz w:val="24"/>
        </w:rPr>
        <w:t>范围内的</w:t>
      </w:r>
      <w:r>
        <w:rPr>
          <w:rFonts w:hint="eastAsia" w:ascii="宋体" w:hAnsi="宋体"/>
          <w:bCs/>
          <w:color w:val="000000"/>
          <w:sz w:val="24"/>
        </w:rPr>
        <w:t>未移交甲方项目</w:t>
      </w:r>
      <w:r>
        <w:rPr>
          <w:rFonts w:ascii="宋体" w:hAnsi="宋体"/>
          <w:bCs/>
          <w:color w:val="000000"/>
          <w:sz w:val="24"/>
        </w:rPr>
        <w:t>享有管理权及服务义务。</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w:t>
      </w:r>
      <w:r>
        <w:rPr>
          <w:rFonts w:ascii="宋体" w:hAnsi="宋体"/>
          <w:bCs/>
          <w:color w:val="000000"/>
          <w:sz w:val="24"/>
        </w:rPr>
        <w:t>根据本合同的规定向甲方收取相关</w:t>
      </w:r>
      <w:r>
        <w:rPr>
          <w:rFonts w:hint="eastAsia" w:ascii="宋体" w:hAnsi="宋体"/>
          <w:bCs/>
          <w:color w:val="000000"/>
          <w:sz w:val="24"/>
        </w:rPr>
        <w:t>服务</w:t>
      </w:r>
      <w:r>
        <w:rPr>
          <w:rFonts w:ascii="宋体" w:hAnsi="宋体"/>
          <w:bCs/>
          <w:color w:val="000000"/>
          <w:sz w:val="24"/>
        </w:rPr>
        <w:t>费用，并有权</w:t>
      </w:r>
      <w:r>
        <w:rPr>
          <w:rFonts w:hint="eastAsia" w:ascii="宋体" w:hAnsi="宋体"/>
          <w:bCs/>
          <w:color w:val="000000"/>
          <w:sz w:val="24"/>
        </w:rPr>
        <w:t>按本合同约定在本项目管理范围内</w:t>
      </w:r>
      <w:r>
        <w:rPr>
          <w:rFonts w:ascii="宋体" w:hAnsi="宋体"/>
          <w:bCs/>
          <w:color w:val="000000"/>
          <w:sz w:val="24"/>
        </w:rPr>
        <w:t>管理及合理使用。</w:t>
      </w:r>
    </w:p>
    <w:p>
      <w:pPr>
        <w:spacing w:line="360" w:lineRule="auto"/>
        <w:ind w:firstLine="480" w:firstLineChars="200"/>
        <w:jc w:val="left"/>
        <w:rPr>
          <w:rFonts w:ascii="宋体" w:hAnsi="宋体"/>
          <w:color w:val="000000"/>
          <w:sz w:val="24"/>
        </w:rPr>
      </w:pPr>
      <w:r>
        <w:rPr>
          <w:rFonts w:hint="eastAsia" w:ascii="宋体" w:hAnsi="宋体"/>
          <w:color w:val="000000"/>
          <w:sz w:val="24"/>
        </w:rPr>
        <w:t>3．及时向甲方通告本项目服务范围内有关服务的重大事项，及时配合处理投诉。</w:t>
      </w:r>
    </w:p>
    <w:p>
      <w:pPr>
        <w:spacing w:line="36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bCs/>
          <w:color w:val="000000"/>
          <w:sz w:val="24"/>
        </w:rPr>
        <w:t>接受</w:t>
      </w:r>
      <w:r>
        <w:rPr>
          <w:rFonts w:hint="eastAsia" w:ascii="宋体" w:hAnsi="宋体"/>
          <w:bCs/>
          <w:color w:val="000000"/>
          <w:sz w:val="24"/>
        </w:rPr>
        <w:t>项目行</w:t>
      </w:r>
      <w:r>
        <w:rPr>
          <w:rFonts w:ascii="宋体" w:hAnsi="宋体"/>
          <w:bCs/>
          <w:color w:val="000000"/>
          <w:sz w:val="24"/>
        </w:rPr>
        <w:t>业管理部门及政府有关部门的指导，接受甲方的监督。</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5．</w:t>
      </w:r>
      <w:r>
        <w:rPr>
          <w:rFonts w:ascii="宋体" w:hAnsi="宋体"/>
          <w:bCs/>
          <w:color w:val="000000"/>
          <w:sz w:val="24"/>
        </w:rPr>
        <w:t>国家法律、法规所规定由乙方承担的其它责任。</w:t>
      </w:r>
    </w:p>
    <w:p>
      <w:pPr>
        <w:spacing w:after="100" w:afterAutospacing="1" w:line="360" w:lineRule="auto"/>
        <w:ind w:firstLine="480" w:firstLineChars="200"/>
        <w:rPr>
          <w:rFonts w:ascii="宋体" w:hAnsi="宋体"/>
          <w:color w:val="000000"/>
          <w:sz w:val="24"/>
        </w:rPr>
      </w:pPr>
      <w:bookmarkStart w:id="18" w:name="_Hlk42243120"/>
      <w:r>
        <w:rPr>
          <w:rFonts w:ascii="宋体" w:hAnsi="宋体"/>
          <w:color w:val="000000"/>
          <w:sz w:val="24"/>
        </w:rPr>
        <w:t>6</w:t>
      </w:r>
      <w:r>
        <w:rPr>
          <w:rFonts w:hint="eastAsia" w:ascii="宋体" w:hAnsi="宋体"/>
          <w:color w:val="000000"/>
          <w:sz w:val="24"/>
        </w:rPr>
        <w:t>.乙方应按时完成测评服务，出具测评报告，并对测评报告客观性、真实性、合法性负责。保证测评的质量符合国家及行业等相关规定。</w:t>
      </w:r>
    </w:p>
    <w:p>
      <w:pPr>
        <w:spacing w:after="100" w:afterAutospacing="1"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乙方人员应对甲方信息系统按照测评标准进行测评，对甲方信息系统结果进行分析并出具《网络安全等级保护测评报告》，以书面形式提交给甲方。其中测评报告一式叁份，一份测评机构存档、二份提交甲方（或被测评单位）。乙方向甲方提交测评报告的方式包括但不限于现场送达、快递、电子邮件等。</w:t>
      </w:r>
    </w:p>
    <w:p>
      <w:pPr>
        <w:spacing w:after="100" w:afterAutospacing="1"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．乙方在服务期间应严格遵守双方的有关规章制度，在作业中应严格遵守甲方机房管理制度，做好各种安全及防静电措施，不得擅自挪用甲方的物品。</w:t>
      </w:r>
    </w:p>
    <w:p>
      <w:pPr>
        <w:spacing w:after="100" w:afterAutospacing="1"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．乙方人员因测评工作需要而接触到的甲方机密信息或暂时未公开的信息负有保密义务，关于此项规定双方需另行签订保密协议予以约束。（见附件）</w:t>
      </w:r>
    </w:p>
    <w:p>
      <w:pPr>
        <w:spacing w:after="100" w:afterAutospacing="1"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乙方对所出具的《测评报告》（含记录文件等）具有最终解释权，测评结论的有效性建立在被测评单位提供相关证据的真实性基础之上，测评结论仅对被测信息系统当时的安全状态有效。当测评工作完成后，由于信息系统发生变更而涉及到的系统构成组件（或子系统）都应重新进行等级测评，原报告不再适用。报告中给出的测评结论不能作为对信息系统内部署的相关系统构成组件（或产品）的测评结论。在任何情况下，若需引用《测评报告》中的测评结果或结论都应保持其原有的意义，不得对相关内容擅自进行增加、修改和伪造或掩盖事实。</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测评报告》是根据特定标准出具的系统安全测评结论，等保测评结论为“中”及以上仅表明该系统基本达到了标准所规定的要求，并不保证该系统是绝对安全的。甲方（或被测评单位）应采取持续有效的改进措施以保障信息系统的安全。</w:t>
      </w:r>
    </w:p>
    <w:bookmarkEnd w:id="18"/>
    <w:p>
      <w:pPr>
        <w:spacing w:after="100" w:afterAutospacing="1"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乙方就测评系统出具《网络安全等级保护测评报告》即全面完全履行了本合同约定的合同义务。</w:t>
      </w:r>
    </w:p>
    <w:p>
      <w:pPr>
        <w:spacing w:line="360" w:lineRule="auto"/>
        <w:ind w:left="426"/>
        <w:rPr>
          <w:rFonts w:ascii="宋体" w:hAnsi="宋体"/>
          <w:b/>
          <w:color w:val="000000"/>
          <w:sz w:val="24"/>
        </w:rPr>
      </w:pPr>
      <w:r>
        <w:rPr>
          <w:rFonts w:hint="eastAsia" w:ascii="宋体" w:hAnsi="宋体"/>
          <w:b/>
          <w:color w:val="000000"/>
          <w:sz w:val="24"/>
        </w:rPr>
        <w:t xml:space="preserve">第九条   </w:t>
      </w:r>
      <w:r>
        <w:rPr>
          <w:rFonts w:ascii="宋体" w:hAnsi="宋体"/>
          <w:b/>
          <w:color w:val="000000"/>
          <w:sz w:val="24"/>
        </w:rPr>
        <w:t>违约责任</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1．</w:t>
      </w:r>
      <w:r>
        <w:rPr>
          <w:rFonts w:ascii="宋体" w:hAnsi="宋体"/>
          <w:bCs/>
          <w:color w:val="000000"/>
          <w:sz w:val="24"/>
        </w:rPr>
        <w:t>甲乙双方必须遵守本合同并执行合同中的各项规定，保证</w:t>
      </w:r>
      <w:r>
        <w:rPr>
          <w:rFonts w:hint="eastAsia" w:ascii="宋体" w:hAnsi="宋体"/>
          <w:bCs/>
          <w:color w:val="000000"/>
          <w:sz w:val="24"/>
        </w:rPr>
        <w:t>本</w:t>
      </w:r>
      <w:r>
        <w:rPr>
          <w:rFonts w:ascii="宋体" w:hAnsi="宋体"/>
          <w:bCs/>
          <w:color w:val="000000"/>
          <w:sz w:val="24"/>
        </w:rPr>
        <w:t>合同的正常</w:t>
      </w:r>
      <w:r>
        <w:rPr>
          <w:rFonts w:hint="eastAsia" w:ascii="宋体" w:hAnsi="宋体"/>
          <w:bCs/>
          <w:color w:val="000000"/>
          <w:sz w:val="24"/>
        </w:rPr>
        <w:t>履行</w:t>
      </w:r>
      <w:r>
        <w:rPr>
          <w:rFonts w:ascii="宋体" w:hAnsi="宋体"/>
          <w:bCs/>
          <w:color w:val="000000"/>
          <w:sz w:val="24"/>
        </w:rPr>
        <w:t>。</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w:t>
      </w:r>
      <w:r>
        <w:rPr>
          <w:rFonts w:ascii="宋体" w:hAnsi="宋体"/>
          <w:bCs/>
          <w:color w:val="000000"/>
          <w:sz w:val="24"/>
        </w:rPr>
        <w:t>如因乙方</w:t>
      </w:r>
      <w:r>
        <w:rPr>
          <w:rFonts w:hint="eastAsia" w:ascii="宋体" w:hAnsi="宋体"/>
          <w:bCs/>
          <w:color w:val="000000"/>
          <w:sz w:val="24"/>
        </w:rPr>
        <w:t>工作人员在履行职务过程中</w:t>
      </w:r>
      <w:r>
        <w:rPr>
          <w:rFonts w:ascii="宋体" w:hAnsi="宋体"/>
          <w:bCs/>
          <w:color w:val="000000"/>
          <w:sz w:val="24"/>
        </w:rPr>
        <w:t>给甲方</w:t>
      </w:r>
      <w:r>
        <w:rPr>
          <w:rFonts w:hint="eastAsia" w:ascii="宋体" w:hAnsi="宋体"/>
          <w:bCs/>
          <w:color w:val="000000"/>
          <w:sz w:val="24"/>
        </w:rPr>
        <w:t>或者第三方</w:t>
      </w:r>
      <w:r>
        <w:rPr>
          <w:rFonts w:ascii="宋体" w:hAnsi="宋体"/>
          <w:bCs/>
          <w:color w:val="000000"/>
          <w:sz w:val="24"/>
        </w:rPr>
        <w:t>造成损失</w:t>
      </w:r>
      <w:r>
        <w:rPr>
          <w:rFonts w:hint="eastAsia" w:ascii="宋体" w:hAnsi="宋体"/>
          <w:bCs/>
          <w:color w:val="000000"/>
          <w:sz w:val="24"/>
        </w:rPr>
        <w:t>的应当承担全部赔偿责任</w:t>
      </w:r>
      <w:r>
        <w:rPr>
          <w:rFonts w:ascii="宋体" w:hAnsi="宋体"/>
          <w:bCs/>
          <w:color w:val="000000"/>
          <w:sz w:val="24"/>
        </w:rPr>
        <w:t>。</w:t>
      </w:r>
    </w:p>
    <w:p>
      <w:pPr>
        <w:spacing w:after="100" w:afterAutospacing="1" w:line="360" w:lineRule="auto"/>
        <w:ind w:left="1" w:firstLine="480" w:firstLineChars="200"/>
        <w:rPr>
          <w:rFonts w:ascii="宋体" w:hAnsi="宋体"/>
          <w:color w:val="000000"/>
          <w:sz w:val="24"/>
        </w:rPr>
      </w:pPr>
      <w:bookmarkStart w:id="19" w:name="_Hlk35609231"/>
      <w:r>
        <w:rPr>
          <w:rFonts w:hint="eastAsia" w:ascii="宋体" w:hAnsi="宋体"/>
          <w:color w:val="000000"/>
          <w:sz w:val="24"/>
        </w:rPr>
        <w:t>3</w:t>
      </w:r>
      <w:r>
        <w:rPr>
          <w:rFonts w:ascii="宋体" w:hAnsi="宋体"/>
          <w:color w:val="000000"/>
          <w:sz w:val="24"/>
        </w:rPr>
        <w:t>.</w:t>
      </w:r>
      <w:r>
        <w:rPr>
          <w:rFonts w:hint="eastAsia" w:ascii="宋体" w:hAnsi="宋体"/>
          <w:color w:val="000000"/>
          <w:sz w:val="24"/>
        </w:rPr>
        <w:t>甲方拒不签收、不作回复或在规定期限内不进行任何回复均视为乙方已将符合要求的测评报告送达至甲方并完成本合同约定义务，甲方应按合同约定向乙方支付全部费用。</w:t>
      </w:r>
    </w:p>
    <w:bookmarkEnd w:id="19"/>
    <w:p>
      <w:pPr>
        <w:spacing w:after="100" w:afterAutospacing="1" w:line="360" w:lineRule="auto"/>
        <w:ind w:left="1" w:firstLine="480" w:firstLineChars="200"/>
        <w:rPr>
          <w:rFonts w:ascii="宋体" w:hAnsi="宋体"/>
          <w:color w:val="000000"/>
          <w:sz w:val="24"/>
        </w:rPr>
      </w:pPr>
      <w:r>
        <w:rPr>
          <w:rFonts w:hint="eastAsia" w:ascii="宋体" w:hAnsi="宋体"/>
          <w:color w:val="000000"/>
          <w:sz w:val="24"/>
        </w:rPr>
        <w:t>4.甲乙双方任何一方违约，通过司法途径维权产生的律师费、诉讼费、保全费、财产保全保函保险费、调查取证费等费用均由违约方承担。</w:t>
      </w:r>
    </w:p>
    <w:p>
      <w:pPr>
        <w:spacing w:line="360" w:lineRule="auto"/>
        <w:ind w:left="426"/>
        <w:rPr>
          <w:rFonts w:ascii="宋体" w:hAnsi="宋体"/>
          <w:b/>
          <w:color w:val="000000"/>
          <w:sz w:val="24"/>
        </w:rPr>
      </w:pPr>
      <w:r>
        <w:rPr>
          <w:rFonts w:hint="eastAsia" w:ascii="宋体" w:hAnsi="宋体"/>
          <w:b/>
          <w:color w:val="000000"/>
          <w:sz w:val="24"/>
        </w:rPr>
        <w:t>第十条  不可抗力事件处理</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2．不可抗力事件发生后，应立即通知对方，并寄送有关权威机构出具的证明。</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3．不可抗力事件延续</w:t>
      </w:r>
      <w:r>
        <w:rPr>
          <w:rFonts w:ascii="宋体" w:hAnsi="宋体"/>
          <w:color w:val="000000"/>
          <w:sz w:val="24"/>
        </w:rPr>
        <w:t>60</w:t>
      </w:r>
      <w:r>
        <w:rPr>
          <w:rFonts w:hint="eastAsia" w:ascii="宋体" w:hAnsi="宋体"/>
          <w:color w:val="000000"/>
          <w:sz w:val="24"/>
        </w:rPr>
        <w:t>天以上，双方应通过友好协商，确定是否继续履行合同。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left="426"/>
        <w:rPr>
          <w:rFonts w:ascii="宋体" w:hAnsi="宋体"/>
          <w:b/>
          <w:color w:val="000000"/>
          <w:sz w:val="24"/>
        </w:rPr>
      </w:pPr>
      <w:bookmarkStart w:id="20" w:name="_Toc238984980"/>
      <w:bookmarkEnd w:id="20"/>
      <w:bookmarkStart w:id="21" w:name="_Toc225654649"/>
      <w:bookmarkEnd w:id="21"/>
      <w:bookmarkStart w:id="22" w:name="_Toc251768867"/>
      <w:bookmarkEnd w:id="22"/>
      <w:bookmarkStart w:id="23" w:name="_Toc225244857"/>
      <w:bookmarkEnd w:id="23"/>
      <w:bookmarkStart w:id="24" w:name="_Toc286993792"/>
      <w:bookmarkEnd w:id="24"/>
      <w:bookmarkStart w:id="25" w:name="_Toc241833908"/>
      <w:bookmarkEnd w:id="25"/>
      <w:bookmarkStart w:id="26" w:name="_Toc239568423"/>
      <w:bookmarkEnd w:id="26"/>
      <w:bookmarkStart w:id="27" w:name="_Toc211911353"/>
      <w:bookmarkEnd w:id="27"/>
      <w:bookmarkStart w:id="28" w:name="_Toc232492933"/>
      <w:bookmarkEnd w:id="28"/>
      <w:bookmarkStart w:id="29" w:name="_Toc225670756"/>
      <w:bookmarkEnd w:id="29"/>
      <w:bookmarkStart w:id="30" w:name="_Toc237145411"/>
      <w:bookmarkEnd w:id="30"/>
      <w:bookmarkStart w:id="31" w:name="_Toc211854454"/>
      <w:bookmarkEnd w:id="31"/>
      <w:bookmarkStart w:id="32" w:name="_Toc185395254"/>
      <w:bookmarkEnd w:id="32"/>
      <w:bookmarkStart w:id="33" w:name="_Toc212019599"/>
      <w:bookmarkEnd w:id="33"/>
      <w:bookmarkStart w:id="34" w:name="_Toc247334846"/>
      <w:bookmarkEnd w:id="34"/>
      <w:bookmarkStart w:id="35" w:name="_Toc239233919"/>
      <w:bookmarkEnd w:id="35"/>
      <w:r>
        <w:rPr>
          <w:rFonts w:hint="eastAsia" w:ascii="宋体" w:hAnsi="宋体"/>
          <w:b/>
          <w:color w:val="000000"/>
          <w:sz w:val="24"/>
        </w:rPr>
        <w:t>第十一条   解</w:t>
      </w:r>
      <w:r>
        <w:rPr>
          <w:rFonts w:ascii="宋体" w:hAnsi="宋体"/>
          <w:b/>
          <w:color w:val="000000"/>
          <w:sz w:val="24"/>
        </w:rPr>
        <w:t>决合同纠纷的方式</w:t>
      </w:r>
    </w:p>
    <w:p>
      <w:pPr>
        <w:tabs>
          <w:tab w:val="left" w:pos="0"/>
        </w:tabs>
        <w:spacing w:line="360" w:lineRule="auto"/>
        <w:ind w:firstLine="480" w:firstLineChars="200"/>
        <w:rPr>
          <w:rFonts w:ascii="宋体" w:hAnsi="宋体"/>
          <w:color w:val="000000"/>
          <w:sz w:val="24"/>
        </w:rPr>
      </w:pPr>
      <w:r>
        <w:rPr>
          <w:rFonts w:ascii="宋体" w:hAnsi="宋体"/>
          <w:color w:val="000000"/>
          <w:sz w:val="24"/>
        </w:rPr>
        <w:t>在执行本合同中发生的或与本合同有关的争端，双方应通过友好协商解决，</w:t>
      </w:r>
      <w:r>
        <w:rPr>
          <w:rFonts w:hint="eastAsia" w:ascii="宋体" w:hAnsi="宋体"/>
          <w:color w:val="000000"/>
          <w:sz w:val="24"/>
        </w:rPr>
        <w:t>协商不成可</w:t>
      </w:r>
      <w:r>
        <w:rPr>
          <w:rFonts w:ascii="宋体" w:hAnsi="宋体"/>
          <w:color w:val="000000"/>
          <w:sz w:val="24"/>
        </w:rPr>
        <w:t>提交</w:t>
      </w:r>
      <w:r>
        <w:rPr>
          <w:rFonts w:hint="eastAsia" w:ascii="宋体" w:hAnsi="宋体"/>
          <w:color w:val="000000"/>
          <w:sz w:val="24"/>
        </w:rPr>
        <w:t>甲方所在的人民法院诉讼解决。</w:t>
      </w:r>
    </w:p>
    <w:p>
      <w:pPr>
        <w:spacing w:line="360" w:lineRule="auto"/>
        <w:ind w:left="426"/>
        <w:rPr>
          <w:rFonts w:ascii="宋体" w:hAnsi="宋体"/>
          <w:b/>
          <w:color w:val="000000"/>
          <w:sz w:val="24"/>
        </w:rPr>
      </w:pPr>
      <w:bookmarkStart w:id="36" w:name="_Toc185395255"/>
      <w:bookmarkEnd w:id="36"/>
      <w:bookmarkStart w:id="37" w:name="_Toc286993793"/>
      <w:bookmarkEnd w:id="37"/>
      <w:bookmarkStart w:id="38" w:name="_Toc251768868"/>
      <w:bookmarkEnd w:id="38"/>
      <w:bookmarkStart w:id="39" w:name="_Toc247334847"/>
      <w:bookmarkEnd w:id="39"/>
      <w:bookmarkStart w:id="40" w:name="_Toc239568424"/>
      <w:bookmarkEnd w:id="40"/>
      <w:bookmarkStart w:id="41" w:name="_Toc212019600"/>
      <w:bookmarkEnd w:id="41"/>
      <w:bookmarkStart w:id="42" w:name="_Toc211911354"/>
      <w:bookmarkEnd w:id="42"/>
      <w:bookmarkStart w:id="43" w:name="_Toc232492934"/>
      <w:bookmarkEnd w:id="43"/>
      <w:bookmarkStart w:id="44" w:name="_Toc225244858"/>
      <w:bookmarkEnd w:id="44"/>
      <w:bookmarkStart w:id="45" w:name="_Toc225654650"/>
      <w:bookmarkEnd w:id="45"/>
      <w:bookmarkStart w:id="46" w:name="_Toc238984981"/>
      <w:bookmarkEnd w:id="46"/>
      <w:bookmarkStart w:id="47" w:name="_Toc211854455"/>
      <w:bookmarkEnd w:id="47"/>
      <w:bookmarkStart w:id="48" w:name="_Toc241833909"/>
      <w:bookmarkEnd w:id="48"/>
      <w:bookmarkStart w:id="49" w:name="_Toc225670757"/>
      <w:bookmarkEnd w:id="49"/>
      <w:bookmarkStart w:id="50" w:name="_Toc237145412"/>
      <w:bookmarkEnd w:id="50"/>
      <w:bookmarkStart w:id="51" w:name="_Toc282696231"/>
      <w:bookmarkEnd w:id="51"/>
      <w:bookmarkStart w:id="52" w:name="_Toc283019219"/>
      <w:bookmarkEnd w:id="52"/>
      <w:bookmarkStart w:id="53" w:name="_Toc239233920"/>
      <w:bookmarkEnd w:id="53"/>
      <w:r>
        <w:rPr>
          <w:rFonts w:hint="eastAsia" w:ascii="宋体" w:hAnsi="宋体"/>
          <w:b/>
          <w:color w:val="000000"/>
          <w:sz w:val="24"/>
        </w:rPr>
        <w:t xml:space="preserve">第十二条  </w:t>
      </w:r>
      <w:r>
        <w:rPr>
          <w:rFonts w:ascii="宋体" w:hAnsi="宋体"/>
          <w:b/>
          <w:color w:val="000000"/>
          <w:sz w:val="24"/>
        </w:rPr>
        <w:t>合同</w:t>
      </w:r>
      <w:r>
        <w:rPr>
          <w:rFonts w:hint="eastAsia" w:ascii="宋体" w:hAnsi="宋体"/>
          <w:b/>
          <w:color w:val="000000"/>
          <w:sz w:val="24"/>
        </w:rPr>
        <w:t>生效及其他</w:t>
      </w:r>
    </w:p>
    <w:p>
      <w:pPr>
        <w:spacing w:line="360" w:lineRule="auto"/>
        <w:ind w:firstLine="480" w:firstLineChars="200"/>
        <w:rPr>
          <w:rFonts w:ascii="宋体" w:hAnsi="宋体"/>
          <w:color w:val="000000"/>
          <w:sz w:val="24"/>
        </w:rPr>
      </w:pPr>
      <w:r>
        <w:rPr>
          <w:rFonts w:hint="eastAsia" w:ascii="宋体" w:hAnsi="宋体"/>
          <w:color w:val="000000"/>
          <w:sz w:val="24"/>
        </w:rPr>
        <w:t>1．合同经双方法定代表人或授权委托代理人签字并加盖单位公章后生效。</w:t>
      </w:r>
    </w:p>
    <w:p>
      <w:pPr>
        <w:spacing w:line="360" w:lineRule="auto"/>
        <w:ind w:firstLine="480" w:firstLineChars="200"/>
        <w:rPr>
          <w:rFonts w:ascii="宋体" w:hAnsi="宋体"/>
          <w:color w:val="000000"/>
          <w:sz w:val="24"/>
        </w:rPr>
      </w:pPr>
      <w:r>
        <w:rPr>
          <w:rFonts w:hint="eastAsia" w:ascii="宋体" w:hAnsi="宋体"/>
          <w:color w:val="000000"/>
          <w:sz w:val="24"/>
        </w:rPr>
        <w:t>2．合同执行中涉及采购资金和采购内容修改或补充的，须经政府采购监管部门审批，并签书面补充协议报政府采购监督管理部门备案，方可具备法律效力。</w:t>
      </w:r>
    </w:p>
    <w:p>
      <w:pPr>
        <w:spacing w:line="360" w:lineRule="auto"/>
        <w:ind w:firstLine="480" w:firstLineChars="200"/>
        <w:rPr>
          <w:rFonts w:ascii="宋体" w:hAnsi="宋体"/>
          <w:color w:val="000000"/>
          <w:sz w:val="24"/>
        </w:rPr>
      </w:pPr>
      <w:r>
        <w:rPr>
          <w:rFonts w:hint="eastAsia" w:ascii="宋体" w:hAnsi="宋体"/>
          <w:color w:val="000000"/>
          <w:sz w:val="24"/>
        </w:rPr>
        <w:t>3．本合同一式</w:t>
      </w:r>
      <w:r>
        <w:rPr>
          <w:rFonts w:ascii="宋体" w:hAnsi="宋体"/>
          <w:color w:val="000000"/>
          <w:sz w:val="24"/>
        </w:rPr>
        <w:t>5</w:t>
      </w:r>
      <w:r>
        <w:rPr>
          <w:rFonts w:hint="eastAsia" w:ascii="宋体" w:hAnsi="宋体"/>
          <w:color w:val="000000"/>
          <w:sz w:val="24"/>
        </w:rPr>
        <w:t>份，自双方签章之日起起效。甲方</w:t>
      </w:r>
      <w:r>
        <w:rPr>
          <w:rFonts w:ascii="宋体" w:hAnsi="宋体"/>
          <w:color w:val="000000"/>
          <w:sz w:val="24"/>
        </w:rPr>
        <w:t>2</w:t>
      </w:r>
      <w:r>
        <w:rPr>
          <w:rFonts w:hint="eastAsia" w:ascii="宋体" w:hAnsi="宋体"/>
          <w:color w:val="000000"/>
          <w:sz w:val="24"/>
        </w:rPr>
        <w:t>份，乙方</w:t>
      </w:r>
      <w:r>
        <w:rPr>
          <w:rFonts w:ascii="宋体" w:hAnsi="宋体"/>
          <w:color w:val="000000"/>
          <w:sz w:val="24"/>
        </w:rPr>
        <w:t>2</w:t>
      </w:r>
      <w:r>
        <w:rPr>
          <w:rFonts w:hint="eastAsia" w:ascii="宋体" w:hAnsi="宋体"/>
          <w:color w:val="000000"/>
          <w:sz w:val="24"/>
        </w:rPr>
        <w:t>份，同级财政部门备案</w:t>
      </w:r>
      <w:r>
        <w:rPr>
          <w:rFonts w:ascii="宋体" w:hAnsi="宋体"/>
          <w:color w:val="000000"/>
          <w:sz w:val="24"/>
        </w:rPr>
        <w:t>1</w:t>
      </w:r>
      <w:r>
        <w:rPr>
          <w:rFonts w:hint="eastAsia" w:ascii="宋体" w:hAnsi="宋体"/>
          <w:color w:val="000000"/>
          <w:sz w:val="24"/>
        </w:rPr>
        <w:t>份，具有同等法律效力。</w:t>
      </w:r>
    </w:p>
    <w:p>
      <w:pPr>
        <w:spacing w:line="360" w:lineRule="auto"/>
        <w:ind w:left="426"/>
        <w:rPr>
          <w:rFonts w:ascii="宋体" w:hAnsi="宋体"/>
          <w:b/>
          <w:color w:val="000000"/>
          <w:sz w:val="24"/>
        </w:rPr>
      </w:pPr>
      <w:r>
        <w:rPr>
          <w:rFonts w:hint="eastAsia" w:ascii="宋体" w:hAnsi="宋体"/>
          <w:b/>
          <w:color w:val="000000"/>
          <w:sz w:val="24"/>
        </w:rPr>
        <w:t>第十三条  附件</w:t>
      </w:r>
    </w:p>
    <w:p>
      <w:pPr>
        <w:spacing w:line="360" w:lineRule="auto"/>
        <w:ind w:firstLine="480" w:firstLineChars="200"/>
        <w:rPr>
          <w:rFonts w:ascii="宋体" w:hAnsi="宋体"/>
          <w:color w:val="000000"/>
          <w:sz w:val="24"/>
        </w:rPr>
      </w:pPr>
      <w:r>
        <w:rPr>
          <w:rFonts w:hint="eastAsia" w:ascii="宋体" w:hAnsi="宋体"/>
          <w:color w:val="000000"/>
          <w:sz w:val="24"/>
        </w:rPr>
        <w:t>1．项目招标公告</w:t>
      </w:r>
    </w:p>
    <w:p>
      <w:pPr>
        <w:spacing w:line="360" w:lineRule="auto"/>
        <w:ind w:firstLine="480" w:firstLineChars="200"/>
        <w:rPr>
          <w:rFonts w:ascii="宋体" w:hAnsi="宋体"/>
          <w:color w:val="000000"/>
          <w:sz w:val="24"/>
        </w:rPr>
      </w:pPr>
      <w:r>
        <w:rPr>
          <w:rFonts w:hint="eastAsia" w:ascii="宋体" w:hAnsi="宋体"/>
          <w:color w:val="000000"/>
          <w:sz w:val="24"/>
        </w:rPr>
        <w:t>2．项目修改澄清文件</w:t>
      </w:r>
    </w:p>
    <w:p>
      <w:pPr>
        <w:spacing w:line="360" w:lineRule="auto"/>
        <w:ind w:firstLine="480" w:firstLineChars="200"/>
        <w:rPr>
          <w:rFonts w:ascii="宋体" w:hAnsi="宋体"/>
          <w:color w:val="000000"/>
          <w:sz w:val="24"/>
        </w:rPr>
      </w:pPr>
      <w:r>
        <w:rPr>
          <w:rFonts w:hint="eastAsia" w:ascii="宋体" w:hAnsi="宋体"/>
          <w:color w:val="000000"/>
          <w:sz w:val="24"/>
        </w:rPr>
        <w:t>3．项目投标文件</w:t>
      </w:r>
    </w:p>
    <w:p>
      <w:pPr>
        <w:spacing w:line="360" w:lineRule="auto"/>
        <w:ind w:firstLine="480" w:firstLineChars="200"/>
        <w:rPr>
          <w:rFonts w:ascii="宋体" w:hAnsi="宋体"/>
          <w:color w:val="000000"/>
          <w:sz w:val="24"/>
        </w:rPr>
      </w:pPr>
      <w:r>
        <w:rPr>
          <w:rFonts w:hint="eastAsia" w:ascii="宋体" w:hAnsi="宋体"/>
          <w:color w:val="000000"/>
          <w:sz w:val="24"/>
        </w:rPr>
        <w:t>4．中标通知书</w:t>
      </w:r>
    </w:p>
    <w:p>
      <w:pPr>
        <w:spacing w:line="360" w:lineRule="auto"/>
        <w:ind w:firstLine="480" w:firstLineChars="200"/>
        <w:rPr>
          <w:rFonts w:ascii="宋体" w:hAnsi="宋体"/>
          <w:color w:val="000000"/>
          <w:sz w:val="24"/>
        </w:rPr>
      </w:pPr>
      <w:r>
        <w:rPr>
          <w:rFonts w:hint="eastAsia" w:ascii="宋体" w:hAnsi="宋体"/>
          <w:color w:val="000000"/>
          <w:sz w:val="24"/>
        </w:rPr>
        <w:t>5、保密协议书、现场测评授权书</w:t>
      </w:r>
    </w:p>
    <w:tbl>
      <w:tblPr>
        <w:tblStyle w:val="2"/>
        <w:tblW w:w="9221" w:type="dxa"/>
        <w:jc w:val="center"/>
        <w:tblLayout w:type="fixed"/>
        <w:tblCellMar>
          <w:top w:w="0" w:type="dxa"/>
          <w:left w:w="108" w:type="dxa"/>
          <w:bottom w:w="0" w:type="dxa"/>
          <w:right w:w="108" w:type="dxa"/>
        </w:tblCellMar>
      </w:tblPr>
      <w:tblGrid>
        <w:gridCol w:w="4450"/>
        <w:gridCol w:w="236"/>
        <w:gridCol w:w="4535"/>
      </w:tblGrid>
      <w:tr>
        <w:tblPrEx>
          <w:tblCellMar>
            <w:top w:w="0" w:type="dxa"/>
            <w:left w:w="108" w:type="dxa"/>
            <w:bottom w:w="0" w:type="dxa"/>
            <w:right w:w="108" w:type="dxa"/>
          </w:tblCellMar>
        </w:tblPrEx>
        <w:trPr>
          <w:trHeight w:val="70" w:hRule="atLeast"/>
          <w:jc w:val="center"/>
        </w:trPr>
        <w:tc>
          <w:tcPr>
            <w:tcW w:w="4450" w:type="dxa"/>
            <w:tcBorders>
              <w:top w:val="dotted" w:color="auto" w:sz="4" w:space="0"/>
              <w:left w:val="dotted" w:color="auto" w:sz="4" w:space="0"/>
              <w:right w:val="dotted" w:color="auto" w:sz="4" w:space="0"/>
            </w:tcBorders>
            <w:vAlign w:val="center"/>
          </w:tcPr>
          <w:p>
            <w:pPr>
              <w:snapToGrid w:val="0"/>
              <w:spacing w:before="156" w:after="156" w:line="276" w:lineRule="auto"/>
              <w:ind w:left="711" w:right="12" w:rightChars="6" w:hanging="710" w:hangingChars="295"/>
              <w:jc w:val="left"/>
              <w:rPr>
                <w:rFonts w:ascii="宋体" w:hAnsi="宋体"/>
                <w:b/>
                <w:sz w:val="24"/>
              </w:rPr>
            </w:pPr>
            <w:bookmarkStart w:id="54" w:name="_Hlk50117438"/>
            <w:r>
              <w:rPr>
                <w:rFonts w:hint="eastAsia" w:ascii="宋体" w:hAnsi="宋体"/>
                <w:b/>
                <w:sz w:val="24"/>
              </w:rPr>
              <w:t>甲方：</w:t>
            </w:r>
            <w:r>
              <w:rPr>
                <w:rFonts w:hint="eastAsia" w:ascii="宋体" w:hAnsi="宋体"/>
                <w:color w:val="000000"/>
                <w:sz w:val="24"/>
                <w:u w:val="single"/>
              </w:rPr>
              <w:t xml:space="preserve">               </w:t>
            </w:r>
            <w:r>
              <w:rPr>
                <w:rFonts w:hint="eastAsia" w:ascii="宋体" w:hAnsi="宋体"/>
                <w:b/>
                <w:sz w:val="24"/>
                <w:u w:val="single"/>
              </w:rPr>
              <w:t>（盖章）</w:t>
            </w:r>
          </w:p>
        </w:tc>
        <w:tc>
          <w:tcPr>
            <w:tcW w:w="236" w:type="dxa"/>
            <w:vMerge w:val="restart"/>
            <w:tcBorders>
              <w:left w:val="dotted" w:color="auto" w:sz="4" w:space="0"/>
              <w:right w:val="dotted" w:color="auto" w:sz="4" w:space="0"/>
            </w:tcBorders>
            <w:vAlign w:val="center"/>
          </w:tcPr>
          <w:p>
            <w:pPr>
              <w:snapToGrid w:val="0"/>
              <w:spacing w:before="156" w:after="156"/>
              <w:ind w:right="357" w:rightChars="170"/>
              <w:rPr>
                <w:rFonts w:ascii="宋体" w:hAnsi="宋体"/>
                <w:bCs/>
                <w:sz w:val="24"/>
              </w:rPr>
            </w:pPr>
          </w:p>
        </w:tc>
        <w:tc>
          <w:tcPr>
            <w:tcW w:w="4535" w:type="dxa"/>
            <w:tcBorders>
              <w:top w:val="dotted" w:color="auto" w:sz="4" w:space="0"/>
              <w:left w:val="dotted" w:color="auto" w:sz="4" w:space="0"/>
              <w:right w:val="dotted" w:color="auto" w:sz="4" w:space="0"/>
            </w:tcBorders>
            <w:vAlign w:val="center"/>
          </w:tcPr>
          <w:p>
            <w:pPr>
              <w:snapToGrid w:val="0"/>
              <w:spacing w:before="156" w:after="156"/>
              <w:ind w:left="711" w:right="12" w:rightChars="6" w:hanging="710" w:hangingChars="295"/>
              <w:rPr>
                <w:rFonts w:ascii="宋体" w:hAnsi="宋体"/>
                <w:b/>
                <w:sz w:val="24"/>
              </w:rPr>
            </w:pPr>
            <w:r>
              <w:rPr>
                <w:rFonts w:hint="eastAsia" w:ascii="宋体" w:hAnsi="宋体"/>
                <w:b/>
                <w:sz w:val="24"/>
              </w:rPr>
              <w:t>乙方：</w:t>
            </w:r>
            <w:r>
              <w:rPr>
                <w:rFonts w:hint="eastAsia" w:ascii="宋体" w:hAnsi="宋体"/>
                <w:b/>
                <w:bCs/>
                <w:kern w:val="0"/>
                <w:sz w:val="24"/>
                <w:u w:val="single"/>
              </w:rPr>
              <w:t xml:space="preserve">             （盖章）</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right w:val="dotted" w:color="auto" w:sz="4" w:space="0"/>
            </w:tcBorders>
            <w:vAlign w:val="center"/>
          </w:tcPr>
          <w:p>
            <w:pPr>
              <w:snapToGrid w:val="0"/>
              <w:spacing w:before="156" w:after="156" w:line="276" w:lineRule="auto"/>
              <w:ind w:right="12" w:rightChars="6"/>
              <w:jc w:val="left"/>
              <w:rPr>
                <w:rFonts w:ascii="宋体" w:hAnsi="宋体"/>
                <w:b/>
                <w:sz w:val="24"/>
              </w:rPr>
            </w:pPr>
          </w:p>
          <w:p>
            <w:pPr>
              <w:snapToGrid w:val="0"/>
              <w:spacing w:before="156" w:after="156" w:line="276" w:lineRule="auto"/>
              <w:ind w:right="12" w:rightChars="6"/>
              <w:jc w:val="left"/>
              <w:rPr>
                <w:rFonts w:ascii="宋体" w:hAnsi="宋体"/>
                <w:b/>
                <w:sz w:val="24"/>
              </w:rPr>
            </w:pPr>
            <w:r>
              <w:rPr>
                <w:rFonts w:hint="eastAsia" w:ascii="宋体" w:hAnsi="宋体"/>
                <w:b/>
                <w:sz w:val="24"/>
              </w:rPr>
              <w:t>税号</w:t>
            </w:r>
            <w:r>
              <w:rPr>
                <w:rFonts w:hint="eastAsia" w:ascii="宋体" w:hAnsi="宋体"/>
                <w:sz w:val="24"/>
              </w:rPr>
              <w:t>：</w:t>
            </w:r>
            <w:r>
              <w:rPr>
                <w:rFonts w:ascii="宋体" w:hAnsi="宋体"/>
                <w:sz w:val="24"/>
                <w:u w:val="single"/>
              </w:rPr>
              <w:t xml:space="preserve">                      </w:t>
            </w:r>
          </w:p>
        </w:tc>
        <w:tc>
          <w:tcPr>
            <w:tcW w:w="236" w:type="dxa"/>
            <w:vMerge w:val="continue"/>
            <w:tcBorders>
              <w:left w:val="dotted" w:color="auto" w:sz="4" w:space="0"/>
              <w:right w:val="dotted" w:color="auto" w:sz="4" w:space="0"/>
            </w:tcBorders>
            <w:vAlign w:val="center"/>
          </w:tcPr>
          <w:p>
            <w:pPr>
              <w:snapToGrid w:val="0"/>
              <w:spacing w:before="156" w:after="156"/>
              <w:ind w:right="357" w:rightChars="170"/>
              <w:rPr>
                <w:rFonts w:ascii="宋体" w:hAnsi="宋体"/>
                <w:bCs/>
                <w:sz w:val="24"/>
              </w:rPr>
            </w:pPr>
          </w:p>
        </w:tc>
        <w:tc>
          <w:tcPr>
            <w:tcW w:w="4535" w:type="dxa"/>
            <w:tcBorders>
              <w:left w:val="dotted" w:color="auto" w:sz="4" w:space="0"/>
              <w:right w:val="dotted" w:color="auto" w:sz="4" w:space="0"/>
            </w:tcBorders>
            <w:vAlign w:val="center"/>
          </w:tcPr>
          <w:p>
            <w:pPr>
              <w:snapToGrid w:val="0"/>
              <w:spacing w:before="156" w:after="156"/>
              <w:ind w:right="12" w:rightChars="6"/>
              <w:rPr>
                <w:rFonts w:ascii="宋体" w:hAnsi="宋体"/>
                <w:b/>
                <w:sz w:val="24"/>
              </w:rPr>
            </w:pPr>
            <w:r>
              <w:rPr>
                <w:rFonts w:hint="eastAsia" w:ascii="宋体" w:hAnsi="宋体"/>
                <w:b/>
                <w:sz w:val="24"/>
              </w:rPr>
              <w:t>税号</w:t>
            </w:r>
            <w:r>
              <w:rPr>
                <w:rFonts w:hint="eastAsia" w:ascii="宋体" w:hAnsi="宋体"/>
                <w:sz w:val="24"/>
              </w:rPr>
              <w:t>：</w:t>
            </w:r>
            <w:r>
              <w:rPr>
                <w:rFonts w:hint="eastAsia" w:ascii="宋体" w:hAnsi="宋体"/>
                <w:sz w:val="24"/>
                <w:u w:val="single"/>
              </w:rPr>
              <w:t xml:space="preserve">                 </w:t>
            </w:r>
          </w:p>
        </w:tc>
      </w:tr>
      <w:tr>
        <w:tblPrEx>
          <w:tblCellMar>
            <w:top w:w="0" w:type="dxa"/>
            <w:left w:w="108" w:type="dxa"/>
            <w:bottom w:w="0" w:type="dxa"/>
            <w:right w:w="108" w:type="dxa"/>
          </w:tblCellMar>
        </w:tblPrEx>
        <w:trPr>
          <w:trHeight w:val="616" w:hRule="atLeast"/>
          <w:jc w:val="center"/>
        </w:trPr>
        <w:tc>
          <w:tcPr>
            <w:tcW w:w="4450" w:type="dxa"/>
            <w:tcBorders>
              <w:left w:val="dotted" w:color="auto" w:sz="4" w:space="0"/>
              <w:right w:val="dotted" w:color="auto" w:sz="4" w:space="0"/>
            </w:tcBorders>
            <w:vAlign w:val="center"/>
          </w:tcPr>
          <w:p>
            <w:pPr>
              <w:snapToGrid w:val="0"/>
              <w:spacing w:before="156" w:after="156" w:line="276" w:lineRule="auto"/>
              <w:ind w:right="12" w:rightChars="6"/>
              <w:jc w:val="left"/>
              <w:rPr>
                <w:rFonts w:ascii="宋体" w:hAnsi="宋体"/>
                <w:sz w:val="24"/>
                <w:u w:val="single"/>
              </w:rPr>
            </w:pPr>
          </w:p>
        </w:tc>
        <w:tc>
          <w:tcPr>
            <w:tcW w:w="236" w:type="dxa"/>
            <w:vMerge w:val="continue"/>
            <w:tcBorders>
              <w:left w:val="dotted" w:color="auto" w:sz="4" w:space="0"/>
              <w:right w:val="dotted" w:color="auto" w:sz="4" w:space="0"/>
            </w:tcBorders>
            <w:vAlign w:val="center"/>
          </w:tcPr>
          <w:p>
            <w:pPr>
              <w:snapToGrid w:val="0"/>
              <w:spacing w:before="156" w:after="156"/>
              <w:ind w:right="357" w:rightChars="170"/>
              <w:rPr>
                <w:rFonts w:ascii="宋体" w:hAnsi="宋体"/>
                <w:bCs/>
                <w:sz w:val="24"/>
              </w:rPr>
            </w:pPr>
          </w:p>
        </w:tc>
        <w:tc>
          <w:tcPr>
            <w:tcW w:w="4535" w:type="dxa"/>
            <w:tcBorders>
              <w:left w:val="dotted" w:color="auto" w:sz="4" w:space="0"/>
              <w:right w:val="dotted" w:color="auto" w:sz="4" w:space="0"/>
            </w:tcBorders>
            <w:vAlign w:val="center"/>
          </w:tcPr>
          <w:p>
            <w:pPr>
              <w:snapToGrid w:val="0"/>
              <w:spacing w:before="156" w:after="156"/>
              <w:ind w:right="12" w:rightChars="6"/>
              <w:rPr>
                <w:rFonts w:ascii="宋体" w:hAnsi="宋体"/>
                <w:b/>
                <w:sz w:val="24"/>
              </w:rPr>
            </w:pPr>
            <w:r>
              <w:rPr>
                <w:rFonts w:hint="eastAsia" w:ascii="宋体" w:hAnsi="宋体"/>
                <w:b/>
                <w:sz w:val="24"/>
              </w:rPr>
              <w:t>地址</w:t>
            </w:r>
            <w:r>
              <w:rPr>
                <w:rFonts w:hint="eastAsia" w:ascii="宋体" w:hAnsi="宋体"/>
                <w:sz w:val="24"/>
              </w:rPr>
              <w:t>：</w:t>
            </w:r>
            <w:r>
              <w:rPr>
                <w:rFonts w:hint="eastAsia" w:ascii="宋体" w:hAnsi="宋体"/>
                <w:sz w:val="24"/>
                <w:u w:val="single"/>
              </w:rPr>
              <w:t xml:space="preserve">                          </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right w:val="dotted" w:color="auto" w:sz="4" w:space="0"/>
            </w:tcBorders>
            <w:vAlign w:val="center"/>
          </w:tcPr>
          <w:p>
            <w:pPr>
              <w:snapToGrid w:val="0"/>
              <w:spacing w:before="156" w:after="156" w:line="276" w:lineRule="auto"/>
              <w:ind w:right="12" w:rightChars="6"/>
              <w:jc w:val="left"/>
              <w:rPr>
                <w:rFonts w:ascii="宋体" w:hAnsi="宋体"/>
                <w:sz w:val="24"/>
                <w:u w:val="single"/>
              </w:rPr>
            </w:pPr>
          </w:p>
        </w:tc>
        <w:tc>
          <w:tcPr>
            <w:tcW w:w="236" w:type="dxa"/>
            <w:vMerge w:val="continue"/>
            <w:tcBorders>
              <w:left w:val="dotted" w:color="auto" w:sz="4" w:space="0"/>
              <w:right w:val="dotted" w:color="auto" w:sz="4" w:space="0"/>
            </w:tcBorders>
            <w:vAlign w:val="center"/>
          </w:tcPr>
          <w:p>
            <w:pPr>
              <w:snapToGrid w:val="0"/>
              <w:spacing w:before="156" w:after="156"/>
              <w:ind w:right="357" w:rightChars="170"/>
              <w:rPr>
                <w:rFonts w:ascii="宋体" w:hAnsi="宋体"/>
                <w:sz w:val="24"/>
              </w:rPr>
            </w:pPr>
          </w:p>
        </w:tc>
        <w:tc>
          <w:tcPr>
            <w:tcW w:w="4535" w:type="dxa"/>
            <w:tcBorders>
              <w:left w:val="dotted" w:color="auto" w:sz="4" w:space="0"/>
              <w:right w:val="dotted" w:color="auto" w:sz="4" w:space="0"/>
            </w:tcBorders>
            <w:vAlign w:val="center"/>
          </w:tcPr>
          <w:p>
            <w:pPr>
              <w:snapToGrid w:val="0"/>
              <w:spacing w:before="156" w:after="156"/>
              <w:ind w:right="357" w:rightChars="170"/>
              <w:rPr>
                <w:rFonts w:ascii="宋体" w:hAnsi="宋体"/>
                <w:b/>
                <w:sz w:val="24"/>
              </w:rPr>
            </w:pPr>
            <w:r>
              <w:rPr>
                <w:rFonts w:hint="eastAsia" w:ascii="宋体" w:hAnsi="宋体"/>
                <w:b/>
                <w:sz w:val="24"/>
              </w:rPr>
              <w:t>开户银行</w:t>
            </w:r>
            <w:r>
              <w:rPr>
                <w:rFonts w:hint="eastAsia" w:ascii="宋体" w:hAnsi="宋体"/>
                <w:sz w:val="24"/>
              </w:rPr>
              <w:t>：</w:t>
            </w:r>
            <w:r>
              <w:rPr>
                <w:rFonts w:hint="eastAsia" w:ascii="宋体" w:hAnsi="宋体"/>
                <w:sz w:val="24"/>
                <w:u w:val="single"/>
              </w:rPr>
              <w:t xml:space="preserve">                       </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right w:val="dotted" w:color="auto" w:sz="4" w:space="0"/>
            </w:tcBorders>
            <w:vAlign w:val="center"/>
          </w:tcPr>
          <w:p>
            <w:pPr>
              <w:snapToGrid w:val="0"/>
              <w:spacing w:before="156" w:after="156" w:line="276" w:lineRule="auto"/>
              <w:jc w:val="left"/>
              <w:rPr>
                <w:rFonts w:ascii="宋体" w:hAnsi="宋体"/>
                <w:sz w:val="24"/>
                <w:u w:val="single"/>
              </w:rPr>
            </w:pPr>
          </w:p>
        </w:tc>
        <w:tc>
          <w:tcPr>
            <w:tcW w:w="236" w:type="dxa"/>
            <w:vMerge w:val="continue"/>
            <w:tcBorders>
              <w:left w:val="dotted" w:color="auto" w:sz="4" w:space="0"/>
              <w:right w:val="dotted" w:color="auto" w:sz="4" w:space="0"/>
            </w:tcBorders>
            <w:vAlign w:val="center"/>
          </w:tcPr>
          <w:p>
            <w:pPr>
              <w:snapToGrid w:val="0"/>
              <w:spacing w:before="156" w:after="156"/>
              <w:ind w:right="357" w:rightChars="170"/>
              <w:rPr>
                <w:rFonts w:ascii="宋体" w:hAnsi="宋体"/>
                <w:sz w:val="24"/>
              </w:rPr>
            </w:pPr>
          </w:p>
        </w:tc>
        <w:tc>
          <w:tcPr>
            <w:tcW w:w="4535" w:type="dxa"/>
            <w:tcBorders>
              <w:left w:val="dotted" w:color="auto" w:sz="4" w:space="0"/>
              <w:right w:val="dotted" w:color="auto" w:sz="4" w:space="0"/>
            </w:tcBorders>
            <w:vAlign w:val="center"/>
          </w:tcPr>
          <w:p>
            <w:pPr>
              <w:snapToGrid w:val="0"/>
              <w:spacing w:before="156" w:after="156"/>
              <w:ind w:right="357" w:rightChars="170"/>
              <w:rPr>
                <w:rFonts w:ascii="宋体" w:hAnsi="宋体"/>
                <w:b/>
                <w:sz w:val="24"/>
              </w:rPr>
            </w:pPr>
            <w:r>
              <w:rPr>
                <w:rFonts w:hint="eastAsia" w:ascii="宋体" w:hAnsi="宋体"/>
                <w:b/>
                <w:sz w:val="24"/>
              </w:rPr>
              <w:t>账    号：</w:t>
            </w:r>
            <w:r>
              <w:rPr>
                <w:rFonts w:hint="eastAsia" w:ascii="宋体" w:hAnsi="宋体"/>
                <w:sz w:val="24"/>
                <w:u w:val="single"/>
              </w:rPr>
              <w:t xml:space="preserve">                       </w:t>
            </w:r>
          </w:p>
        </w:tc>
      </w:tr>
      <w:tr>
        <w:tblPrEx>
          <w:tblCellMar>
            <w:top w:w="0" w:type="dxa"/>
            <w:left w:w="108" w:type="dxa"/>
            <w:bottom w:w="0" w:type="dxa"/>
            <w:right w:w="108" w:type="dxa"/>
          </w:tblCellMar>
        </w:tblPrEx>
        <w:trPr>
          <w:trHeight w:val="978" w:hRule="atLeast"/>
          <w:jc w:val="center"/>
        </w:trPr>
        <w:tc>
          <w:tcPr>
            <w:tcW w:w="4450" w:type="dxa"/>
            <w:tcBorders>
              <w:left w:val="dotted" w:color="auto" w:sz="4" w:space="0"/>
              <w:right w:val="dotted" w:color="auto" w:sz="4" w:space="0"/>
            </w:tcBorders>
            <w:vAlign w:val="center"/>
          </w:tcPr>
          <w:p>
            <w:pPr>
              <w:snapToGrid w:val="0"/>
              <w:spacing w:line="276" w:lineRule="auto"/>
              <w:ind w:right="357" w:rightChars="170"/>
              <w:jc w:val="left"/>
              <w:rPr>
                <w:rFonts w:ascii="宋体" w:hAnsi="宋体"/>
                <w:sz w:val="24"/>
              </w:rPr>
            </w:pPr>
            <w:r>
              <w:rPr>
                <w:rFonts w:hint="eastAsia" w:ascii="宋体" w:hAnsi="宋体"/>
                <w:sz w:val="24"/>
              </w:rPr>
              <w:t>法定代表人/负责人或授权代表</w:t>
            </w:r>
          </w:p>
          <w:p>
            <w:pPr>
              <w:snapToGrid w:val="0"/>
              <w:spacing w:line="276" w:lineRule="auto"/>
              <w:ind w:right="357" w:rightChars="170"/>
              <w:jc w:val="left"/>
              <w:rPr>
                <w:rFonts w:ascii="宋体" w:hAnsi="宋体"/>
                <w:sz w:val="24"/>
              </w:rPr>
            </w:pPr>
            <w:r>
              <w:rPr>
                <w:rFonts w:hint="eastAsia" w:ascii="宋体" w:hAnsi="宋体"/>
                <w:sz w:val="24"/>
              </w:rPr>
              <w:t>(签字)：</w:t>
            </w:r>
            <w:r>
              <w:rPr>
                <w:rFonts w:hint="eastAsia" w:ascii="宋体" w:hAnsi="宋体"/>
                <w:sz w:val="24"/>
                <w:u w:val="single"/>
              </w:rPr>
              <w:t xml:space="preserve">                        </w:t>
            </w:r>
          </w:p>
        </w:tc>
        <w:tc>
          <w:tcPr>
            <w:tcW w:w="236" w:type="dxa"/>
            <w:vMerge w:val="continue"/>
            <w:tcBorders>
              <w:left w:val="dotted" w:color="auto" w:sz="4" w:space="0"/>
              <w:right w:val="dotted" w:color="auto" w:sz="4" w:space="0"/>
            </w:tcBorders>
            <w:vAlign w:val="center"/>
          </w:tcPr>
          <w:p>
            <w:pPr>
              <w:snapToGrid w:val="0"/>
              <w:spacing w:line="360" w:lineRule="auto"/>
              <w:ind w:right="357" w:rightChars="170"/>
              <w:rPr>
                <w:rFonts w:ascii="宋体" w:hAnsi="宋体"/>
                <w:sz w:val="24"/>
                <w:u w:val="single"/>
              </w:rPr>
            </w:pPr>
          </w:p>
        </w:tc>
        <w:tc>
          <w:tcPr>
            <w:tcW w:w="4535" w:type="dxa"/>
            <w:tcBorders>
              <w:left w:val="dotted" w:color="auto" w:sz="4" w:space="0"/>
              <w:right w:val="dotted" w:color="auto" w:sz="4" w:space="0"/>
            </w:tcBorders>
            <w:vAlign w:val="center"/>
          </w:tcPr>
          <w:p>
            <w:pPr>
              <w:snapToGrid w:val="0"/>
              <w:spacing w:line="360" w:lineRule="auto"/>
              <w:ind w:right="357" w:rightChars="170"/>
              <w:rPr>
                <w:rFonts w:ascii="宋体" w:hAnsi="宋体"/>
                <w:sz w:val="24"/>
              </w:rPr>
            </w:pPr>
            <w:r>
              <w:rPr>
                <w:rFonts w:hint="eastAsia" w:ascii="宋体" w:hAnsi="宋体"/>
                <w:sz w:val="24"/>
              </w:rPr>
              <w:t>法定代表人/负责人或授权代表</w:t>
            </w:r>
          </w:p>
          <w:p>
            <w:pPr>
              <w:snapToGrid w:val="0"/>
              <w:spacing w:line="360" w:lineRule="auto"/>
              <w:ind w:right="357" w:rightChars="170"/>
              <w:rPr>
                <w:rFonts w:ascii="宋体" w:hAnsi="宋体"/>
                <w:sz w:val="24"/>
              </w:rPr>
            </w:pPr>
            <w:r>
              <w:rPr>
                <w:rFonts w:hint="eastAsia" w:ascii="宋体" w:hAnsi="宋体"/>
                <w:sz w:val="24"/>
              </w:rPr>
              <w:t>(签字)：</w:t>
            </w:r>
            <w:r>
              <w:rPr>
                <w:rFonts w:hint="eastAsia" w:ascii="宋体" w:hAnsi="宋体"/>
                <w:sz w:val="24"/>
                <w:u w:val="single"/>
              </w:rPr>
              <w:t xml:space="preserve">                         </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bottom w:val="dotted" w:color="auto" w:sz="4" w:space="0"/>
              <w:right w:val="dotted" w:color="auto" w:sz="4" w:space="0"/>
            </w:tcBorders>
            <w:vAlign w:val="center"/>
          </w:tcPr>
          <w:p>
            <w:pPr>
              <w:snapToGrid w:val="0"/>
              <w:spacing w:before="156" w:after="156" w:line="276" w:lineRule="auto"/>
              <w:ind w:right="357" w:rightChars="170"/>
              <w:jc w:val="lef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p>
        </w:tc>
        <w:tc>
          <w:tcPr>
            <w:tcW w:w="236" w:type="dxa"/>
            <w:vMerge w:val="continue"/>
            <w:tcBorders>
              <w:left w:val="dotted" w:color="auto" w:sz="4" w:space="0"/>
              <w:right w:val="dotted" w:color="auto" w:sz="4" w:space="0"/>
            </w:tcBorders>
            <w:vAlign w:val="center"/>
          </w:tcPr>
          <w:p>
            <w:pPr>
              <w:snapToGrid w:val="0"/>
              <w:spacing w:before="156" w:after="156"/>
              <w:ind w:right="357" w:rightChars="170"/>
              <w:rPr>
                <w:rFonts w:ascii="宋体" w:hAnsi="宋体"/>
                <w:sz w:val="24"/>
              </w:rPr>
            </w:pPr>
          </w:p>
        </w:tc>
        <w:tc>
          <w:tcPr>
            <w:tcW w:w="4535" w:type="dxa"/>
            <w:tcBorders>
              <w:left w:val="dotted" w:color="auto" w:sz="4" w:space="0"/>
              <w:bottom w:val="dotted" w:color="auto" w:sz="4" w:space="0"/>
              <w:right w:val="dotted" w:color="auto" w:sz="4" w:space="0"/>
            </w:tcBorders>
            <w:vAlign w:val="center"/>
          </w:tcPr>
          <w:p>
            <w:pPr>
              <w:snapToGrid w:val="0"/>
              <w:spacing w:before="156" w:after="156"/>
              <w:ind w:right="357" w:rightChars="17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p>
        </w:tc>
      </w:tr>
      <w:bookmarkEnd w:id="54"/>
    </w:tbl>
    <w:p>
      <w:pPr>
        <w:widowControl/>
        <w:jc w:val="left"/>
        <w:rPr>
          <w:rFonts w:ascii="宋体" w:hAnsi="宋体"/>
        </w:rPr>
      </w:pPr>
      <w:r>
        <w:rPr>
          <w:rFonts w:ascii="宋体" w:hAnsi="宋体"/>
        </w:rPr>
        <w:br w:type="page"/>
      </w:r>
    </w:p>
    <w:p>
      <w:pPr>
        <w:spacing w:before="100" w:beforeAutospacing="1" w:after="100" w:afterAutospacing="1" w:line="360" w:lineRule="auto"/>
        <w:jc w:val="center"/>
        <w:outlineLvl w:val="0"/>
        <w:rPr>
          <w:rFonts w:ascii="宋体" w:hAnsi="宋体"/>
          <w:b/>
          <w:color w:val="000000"/>
          <w:sz w:val="24"/>
        </w:rPr>
      </w:pPr>
      <w:bookmarkStart w:id="55" w:name="_Hlk108623809"/>
      <w:bookmarkStart w:id="56" w:name="_Hlk17887770"/>
      <w:r>
        <w:rPr>
          <w:rFonts w:hint="eastAsia" w:ascii="宋体" w:hAnsi="宋体"/>
          <w:b/>
          <w:color w:val="000000"/>
          <w:sz w:val="24"/>
        </w:rPr>
        <w:t>保密协议书</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 xml:space="preserve">   </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 xml:space="preserve">乙方： </w:t>
      </w:r>
    </w:p>
    <w:p>
      <w:pPr>
        <w:rPr>
          <w:rFonts w:ascii="宋体" w:hAnsi="宋体"/>
          <w:color w:val="000000"/>
          <w:sz w:val="24"/>
        </w:rPr>
      </w:pP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甲、乙双方根据《中华人民共和国反不正当竞争法》和国家、地方有关规定，就双方商务、技术等私密保护达成如下协议：</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一、保密内容和范围</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1.项目所涉及的商务洽谈内容（含服务价格）及技术交流获得提供的与本项目有关的技术资料、需求分析等内容。</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2.与项目有关的设计方案、实施方案、测试记录、测试成果等内容。</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3.乙方在合同期内因工作行为所接触和掌握到的甲方技术成果、设备配置、网络搭建、技术文档等相关技术资料以及甲方的全部非公开信息。</w:t>
      </w:r>
    </w:p>
    <w:p>
      <w:pPr>
        <w:spacing w:after="100" w:afterAutospacing="1"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.乙方在履行本合同过程中所创造产生的所有知识产权。</w:t>
      </w:r>
    </w:p>
    <w:p>
      <w:pPr>
        <w:spacing w:after="100" w:afterAutospacing="1"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.《中华人民共和国保密法》和国家、地方有关规定的保守国家秘密的内容。</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二、双方的权利和义务</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1.乙方必须严格遵守甲方的保密制度，严禁泄漏国家和商业秘密及技术秘密。</w:t>
      </w:r>
    </w:p>
    <w:p>
      <w:pPr>
        <w:spacing w:after="100" w:afterAutospacing="1" w:line="360" w:lineRule="auto"/>
        <w:ind w:left="239" w:leftChars="114" w:firstLine="240" w:firstLineChars="100"/>
        <w:rPr>
          <w:rFonts w:ascii="宋体" w:hAnsi="宋体"/>
          <w:color w:val="000000"/>
          <w:sz w:val="24"/>
        </w:rPr>
      </w:pPr>
      <w:r>
        <w:rPr>
          <w:rFonts w:hint="eastAsia" w:ascii="宋体" w:hAnsi="宋体"/>
          <w:color w:val="000000"/>
          <w:sz w:val="24"/>
        </w:rPr>
        <w:t>2未经甲或乙方书面同意，任何一方不得将任何商业秘密及技术秘密及其他秘密向本项目无关的第三方泄露或复制传递，但向监管部门以及根据国家法律法规规定和政府有关部门要求提供除外。</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三、协议期限</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1.甲、乙双方签署的服务合同终止后，本协议项下的保密义务并不终止，直至相关保密信息非因承担保密义务的一方原因成为公开信息时止或双方按照下款规定终止保密协议。</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2.服务合同终止或者解除后，本保密协议继续有效，双方若协商一致可终止本保密协议，则本协议终止。单方面终止无效。</w:t>
      </w:r>
    </w:p>
    <w:p>
      <w:pPr>
        <w:ind w:firstLine="480" w:firstLineChars="200"/>
        <w:rPr>
          <w:rFonts w:ascii="宋体" w:hAnsi="宋体"/>
          <w:color w:val="000000"/>
          <w:sz w:val="24"/>
        </w:rPr>
      </w:pPr>
      <w:r>
        <w:rPr>
          <w:rFonts w:hint="eastAsia" w:ascii="宋体" w:hAnsi="宋体"/>
          <w:color w:val="000000"/>
          <w:sz w:val="24"/>
        </w:rPr>
        <w:t>本保密协议经甲乙双方加盖公章后生效。</w:t>
      </w:r>
    </w:p>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甲方：              （盖章） </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xml:space="preserve">                              </w:t>
      </w:r>
    </w:p>
    <w:p>
      <w:pPr>
        <w:rPr>
          <w:rFonts w:ascii="宋体" w:hAnsi="宋体"/>
          <w:color w:val="000000"/>
          <w:sz w:val="24"/>
        </w:rPr>
      </w:pPr>
      <w:r>
        <w:rPr>
          <w:rFonts w:hint="eastAsia" w:ascii="宋体" w:hAnsi="宋体"/>
          <w:color w:val="000000"/>
          <w:sz w:val="24"/>
        </w:rPr>
        <w:t xml:space="preserve">日期：        年    月    日                 </w:t>
      </w:r>
    </w:p>
    <w:p>
      <w:pPr>
        <w:rPr>
          <w:rFonts w:ascii="宋体" w:hAnsi="宋体"/>
          <w:color w:val="000000"/>
          <w:sz w:val="24"/>
        </w:rPr>
      </w:pPr>
      <w:bookmarkStart w:id="57" w:name="_Hlt525572247"/>
      <w:bookmarkEnd w:id="57"/>
    </w:p>
    <w:p>
      <w:pPr>
        <w:ind w:left="5520" w:hanging="5520" w:hangingChars="2300"/>
        <w:rPr>
          <w:rFonts w:ascii="宋体" w:hAnsi="宋体"/>
          <w:color w:val="000000"/>
          <w:sz w:val="24"/>
        </w:rPr>
      </w:pPr>
      <w:r>
        <w:rPr>
          <w:rFonts w:hint="eastAsia" w:ascii="宋体" w:hAnsi="宋体"/>
          <w:color w:val="000000"/>
          <w:sz w:val="24"/>
        </w:rPr>
        <w:t>乙方：</w:t>
      </w:r>
      <w:r>
        <w:rPr>
          <w:rFonts w:hint="eastAsia" w:ascii="宋体" w:hAnsi="宋体"/>
          <w:color w:val="000000"/>
          <w:kern w:val="0"/>
          <w:sz w:val="24"/>
        </w:rPr>
        <w:t xml:space="preserve">        </w:t>
      </w:r>
      <w:r>
        <w:rPr>
          <w:rFonts w:hint="eastAsia" w:ascii="宋体" w:hAnsi="宋体"/>
          <w:color w:val="000000"/>
          <w:sz w:val="24"/>
        </w:rPr>
        <w:t>（盖章）</w:t>
      </w:r>
    </w:p>
    <w:p>
      <w:pPr>
        <w:rPr>
          <w:rFonts w:ascii="宋体" w:hAnsi="宋体"/>
          <w:color w:val="000000"/>
          <w:sz w:val="24"/>
        </w:rPr>
      </w:pPr>
      <w:r>
        <w:rPr>
          <w:rFonts w:hint="eastAsia" w:ascii="宋体" w:hAnsi="宋体"/>
          <w:color w:val="000000"/>
          <w:sz w:val="24"/>
        </w:rPr>
        <w:t xml:space="preserve">                             </w:t>
      </w:r>
    </w:p>
    <w:p>
      <w:pPr>
        <w:rPr>
          <w:rFonts w:ascii="宋体" w:hAnsi="宋体"/>
          <w:color w:val="000000"/>
          <w:sz w:val="24"/>
        </w:rPr>
      </w:pPr>
      <w:r>
        <w:rPr>
          <w:rFonts w:hint="eastAsia" w:ascii="宋体" w:hAnsi="宋体"/>
          <w:color w:val="000000"/>
          <w:sz w:val="24"/>
        </w:rPr>
        <w:t xml:space="preserve">日期：        年    月    日      </w:t>
      </w:r>
    </w:p>
    <w:p>
      <w:pPr>
        <w:spacing w:before="100" w:beforeAutospacing="1" w:after="100" w:afterAutospacing="1" w:line="360" w:lineRule="auto"/>
        <w:jc w:val="center"/>
        <w:outlineLvl w:val="0"/>
        <w:rPr>
          <w:rFonts w:ascii="宋体" w:hAnsi="宋体"/>
          <w:color w:val="000000"/>
          <w:sz w:val="24"/>
        </w:rPr>
      </w:pPr>
      <w:r>
        <w:rPr>
          <w:rFonts w:ascii="宋体" w:hAnsi="宋体"/>
          <w:color w:val="000000"/>
          <w:sz w:val="24"/>
        </w:rPr>
        <w:br w:type="page"/>
      </w:r>
      <w:r>
        <w:rPr>
          <w:rFonts w:hint="eastAsia" w:ascii="宋体" w:hAnsi="宋体"/>
          <w:color w:val="000000"/>
          <w:sz w:val="24"/>
        </w:rPr>
        <w:t xml:space="preserve"> </w:t>
      </w:r>
      <w:r>
        <w:rPr>
          <w:rFonts w:hint="eastAsia" w:ascii="宋体" w:hAnsi="宋体"/>
          <w:b/>
          <w:color w:val="000000"/>
          <w:sz w:val="24"/>
        </w:rPr>
        <w:t>现场测评授权书</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 xml:space="preserve">甲方：                </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 xml:space="preserve">乙方：                 </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甲方委托乙方对合同中所涉及测评服务对象开展等级保护测评服务及信息安全风险评估（以下简称“测评”）。</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为确保测评工作的顺利进行，并保证甲方信息系统所涉及的操作系统、应用系统及网络等的文档和数据的安全性，甲乙双方就下述事宜达成一致，特制定本协议。</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一、甲方责任</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1、甲方提供准确的信息系统信息（包括应用系统、网络系统、服务器系统、数据及备份系统、相关文档资料的基本信息），并安排专人全程配合测评工作，确保测评工作的顺利进行。</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2、甲方允许乙方在测评过程中对所获取的信息进行必要的记录。</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3、甲方应在测评工作中配合乙方测评工作，以确保乙方所获取信息的真实性。</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4、甲方应在测评前对相关数据进行必要的备份。</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5、甲方在未经乙方允许的情况下，不得泄露乙方在测评工作中所使用的测试方法、技术及相关输出。</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二、乙方责任</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1、对于乙方在测评过程中所获取的任何信息，仅在编写报告时使用。</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2、在未经授权的情况下，乙方不得向任何单位提供测评过程中所获取的信息。</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3、乙方在测评过程中应尽量避免影响甲方业务的正常运行，若出现意外操作而导致的异常则应立刻通知甲方并积极配合协商解决。</w:t>
      </w:r>
    </w:p>
    <w:p>
      <w:pPr>
        <w:spacing w:after="100" w:afterAutospacing="1" w:line="360" w:lineRule="auto"/>
        <w:ind w:firstLine="480" w:firstLineChars="200"/>
        <w:rPr>
          <w:rFonts w:ascii="宋体" w:hAnsi="宋体"/>
          <w:color w:val="000000"/>
          <w:sz w:val="24"/>
        </w:rPr>
      </w:pPr>
      <w:r>
        <w:rPr>
          <w:rFonts w:hint="eastAsia" w:ascii="宋体" w:hAnsi="宋体"/>
          <w:color w:val="000000"/>
          <w:sz w:val="24"/>
        </w:rPr>
        <w:t>4、在测试完成后，乙方承诺不对外泄露甲方测试信息。</w:t>
      </w:r>
    </w:p>
    <w:p>
      <w:pPr>
        <w:spacing w:line="360" w:lineRule="auto"/>
        <w:ind w:firstLine="480" w:firstLineChars="200"/>
        <w:rPr>
          <w:rFonts w:ascii="宋体" w:hAnsi="宋体"/>
          <w:color w:val="000000"/>
          <w:sz w:val="24"/>
        </w:rPr>
      </w:pPr>
      <w:r>
        <w:rPr>
          <w:rFonts w:hint="eastAsia" w:ascii="宋体" w:hAnsi="宋体"/>
          <w:color w:val="000000"/>
          <w:sz w:val="24"/>
        </w:rPr>
        <w:t>5、测评现场工作可能会给被测系统带来如下风险：</w:t>
      </w:r>
    </w:p>
    <w:p>
      <w:pPr>
        <w:numPr>
          <w:ilvl w:val="0"/>
          <w:numId w:val="4"/>
        </w:numPr>
        <w:tabs>
          <w:tab w:val="clear" w:pos="420"/>
        </w:tabs>
        <w:spacing w:line="360" w:lineRule="auto"/>
        <w:ind w:firstLine="300"/>
        <w:rPr>
          <w:rFonts w:ascii="宋体" w:hAnsi="宋体"/>
          <w:color w:val="000000"/>
          <w:sz w:val="24"/>
        </w:rPr>
      </w:pPr>
      <w:r>
        <w:rPr>
          <w:rFonts w:hint="eastAsia" w:ascii="宋体" w:hAnsi="宋体"/>
          <w:color w:val="000000"/>
          <w:sz w:val="24"/>
        </w:rPr>
        <w:t>网络性能变慢；</w:t>
      </w:r>
    </w:p>
    <w:p>
      <w:pPr>
        <w:numPr>
          <w:ilvl w:val="0"/>
          <w:numId w:val="4"/>
        </w:numPr>
        <w:tabs>
          <w:tab w:val="clear" w:pos="420"/>
        </w:tabs>
        <w:spacing w:line="360" w:lineRule="auto"/>
        <w:ind w:firstLine="300"/>
        <w:rPr>
          <w:rFonts w:ascii="宋体" w:hAnsi="宋体"/>
          <w:color w:val="000000"/>
          <w:sz w:val="24"/>
        </w:rPr>
      </w:pPr>
      <w:r>
        <w:rPr>
          <w:rFonts w:hint="eastAsia" w:ascii="宋体" w:hAnsi="宋体"/>
          <w:color w:val="000000"/>
          <w:sz w:val="24"/>
        </w:rPr>
        <w:t>网络设备性能变慢或停机；</w:t>
      </w:r>
    </w:p>
    <w:p>
      <w:pPr>
        <w:numPr>
          <w:ilvl w:val="0"/>
          <w:numId w:val="4"/>
        </w:numPr>
        <w:tabs>
          <w:tab w:val="clear" w:pos="420"/>
        </w:tabs>
        <w:spacing w:line="360" w:lineRule="auto"/>
        <w:ind w:firstLine="300"/>
        <w:rPr>
          <w:rFonts w:ascii="宋体" w:hAnsi="宋体"/>
          <w:color w:val="000000"/>
          <w:sz w:val="24"/>
        </w:rPr>
      </w:pPr>
      <w:r>
        <w:rPr>
          <w:rFonts w:hint="eastAsia" w:ascii="宋体" w:hAnsi="宋体"/>
          <w:color w:val="000000"/>
          <w:sz w:val="24"/>
        </w:rPr>
        <w:t>主机服务器性能变慢或停机；</w:t>
      </w:r>
    </w:p>
    <w:p>
      <w:pPr>
        <w:numPr>
          <w:ilvl w:val="0"/>
          <w:numId w:val="4"/>
        </w:numPr>
        <w:tabs>
          <w:tab w:val="clear" w:pos="420"/>
        </w:tabs>
        <w:spacing w:line="360" w:lineRule="auto"/>
        <w:ind w:firstLine="300"/>
        <w:rPr>
          <w:rFonts w:ascii="宋体" w:hAnsi="宋体"/>
          <w:color w:val="000000"/>
          <w:sz w:val="24"/>
        </w:rPr>
      </w:pPr>
      <w:r>
        <w:rPr>
          <w:rFonts w:hint="eastAsia" w:ascii="宋体" w:hAnsi="宋体"/>
          <w:color w:val="000000"/>
          <w:sz w:val="24"/>
        </w:rPr>
        <w:t>应用系统性能变慢或下线；</w:t>
      </w:r>
    </w:p>
    <w:p>
      <w:pPr>
        <w:numPr>
          <w:ilvl w:val="0"/>
          <w:numId w:val="4"/>
        </w:numPr>
        <w:tabs>
          <w:tab w:val="clear" w:pos="420"/>
        </w:tabs>
        <w:spacing w:line="360" w:lineRule="auto"/>
        <w:ind w:firstLine="300"/>
        <w:rPr>
          <w:rFonts w:ascii="宋体" w:hAnsi="宋体"/>
          <w:color w:val="000000"/>
          <w:sz w:val="24"/>
        </w:rPr>
      </w:pPr>
      <w:r>
        <w:rPr>
          <w:rFonts w:hint="eastAsia" w:ascii="宋体" w:hAnsi="宋体"/>
          <w:color w:val="000000"/>
          <w:sz w:val="24"/>
        </w:rPr>
        <w:t>数据库数据可能会丢失。</w:t>
      </w:r>
    </w:p>
    <w:p>
      <w:pPr>
        <w:spacing w:line="360" w:lineRule="auto"/>
        <w:ind w:firstLine="480" w:firstLineChars="200"/>
        <w:rPr>
          <w:rFonts w:ascii="宋体" w:hAnsi="宋体"/>
          <w:color w:val="000000"/>
          <w:sz w:val="24"/>
        </w:rPr>
      </w:pPr>
      <w:r>
        <w:rPr>
          <w:rFonts w:hint="eastAsia" w:ascii="宋体" w:hAnsi="宋体"/>
          <w:color w:val="000000"/>
          <w:sz w:val="24"/>
        </w:rPr>
        <w:t>鉴于以上风险，被测单位应提前做好各项数据、设备和系统的备份工作和应急响应工作。并请被测单位派遣人员全程陪同进行机房和信息系统以及渗透测评相关工作。</w:t>
      </w:r>
    </w:p>
    <w:p>
      <w:pPr>
        <w:spacing w:after="100" w:afterAutospacing="1" w:line="360" w:lineRule="auto"/>
        <w:ind w:firstLine="480" w:firstLineChars="200"/>
        <w:rPr>
          <w:rFonts w:ascii="宋体" w:hAnsi="宋体"/>
          <w:color w:val="000000"/>
          <w:sz w:val="24"/>
        </w:rPr>
      </w:pPr>
    </w:p>
    <w:p>
      <w:pPr>
        <w:spacing w:line="360" w:lineRule="auto"/>
        <w:rPr>
          <w:rFonts w:ascii="宋体" w:hAnsi="宋体"/>
          <w:bCs/>
          <w:color w:val="000000"/>
          <w:sz w:val="24"/>
        </w:rPr>
      </w:pPr>
    </w:p>
    <w:p>
      <w:pPr>
        <w:rPr>
          <w:rFonts w:ascii="宋体" w:hAnsi="宋体"/>
          <w:color w:val="000000"/>
          <w:sz w:val="24"/>
        </w:rPr>
      </w:pPr>
      <w:r>
        <w:rPr>
          <w:rFonts w:hint="eastAsia" w:ascii="宋体" w:hAnsi="宋体"/>
          <w:color w:val="000000"/>
          <w:sz w:val="24"/>
        </w:rPr>
        <w:t>甲方：     （盖章）</w:t>
      </w:r>
    </w:p>
    <w:p>
      <w:pPr>
        <w:rPr>
          <w:rFonts w:ascii="宋体" w:hAnsi="宋体"/>
          <w:color w:val="000000"/>
          <w:sz w:val="24"/>
        </w:rPr>
      </w:pPr>
      <w:r>
        <w:rPr>
          <w:rFonts w:hint="eastAsia" w:ascii="宋体" w:hAnsi="宋体"/>
          <w:color w:val="000000"/>
          <w:sz w:val="24"/>
        </w:rPr>
        <w:t xml:space="preserve">日期：        年    月    日               </w:t>
      </w:r>
    </w:p>
    <w:p>
      <w:pPr>
        <w:rPr>
          <w:rFonts w:ascii="宋体" w:hAnsi="宋体"/>
          <w:color w:val="000000"/>
          <w:sz w:val="24"/>
        </w:rPr>
      </w:pPr>
    </w:p>
    <w:p>
      <w:pPr>
        <w:ind w:left="5520" w:hanging="5520" w:hangingChars="2300"/>
        <w:rPr>
          <w:rFonts w:ascii="宋体" w:hAnsi="宋体"/>
          <w:color w:val="000000"/>
          <w:sz w:val="24"/>
        </w:rPr>
      </w:pPr>
      <w:r>
        <w:rPr>
          <w:rFonts w:hint="eastAsia" w:ascii="宋体" w:hAnsi="宋体"/>
          <w:color w:val="000000"/>
          <w:sz w:val="24"/>
        </w:rPr>
        <w:t xml:space="preserve">乙方：          （盖章）                              </w:t>
      </w:r>
    </w:p>
    <w:bookmarkEnd w:id="55"/>
    <w:bookmarkEnd w:id="56"/>
    <w:p>
      <w:pPr>
        <w:tabs>
          <w:tab w:val="left" w:pos="4732"/>
        </w:tabs>
        <w:jc w:val="left"/>
        <w:rPr>
          <w:rFonts w:ascii="方正小标宋简体" w:eastAsia="方正小标宋简体"/>
          <w:sz w:val="32"/>
          <w:szCs w:val="32"/>
        </w:rPr>
      </w:pPr>
      <w:r>
        <w:rPr>
          <w:rFonts w:hint="eastAsia" w:ascii="宋体" w:hAnsi="宋体"/>
          <w:color w:val="000000"/>
          <w:sz w:val="24"/>
        </w:rPr>
        <w:t xml:space="preserve">日期：        年    月    日   </w:t>
      </w:r>
      <w:bookmarkStart w:id="58" w:name="_GoBack"/>
      <w:bookmarkEnd w:id="58"/>
    </w:p>
    <w:sectPr>
      <w:pgSz w:w="11906" w:h="16838"/>
      <w:pgMar w:top="1440"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6558"/>
    <w:multiLevelType w:val="multilevel"/>
    <w:tmpl w:val="114D6558"/>
    <w:lvl w:ilvl="0" w:tentative="0">
      <w:start w:val="1"/>
      <w:numFmt w:val="bullet"/>
      <w:lvlText w:val=""/>
      <w:lvlJc w:val="left"/>
      <w:pPr>
        <w:ind w:left="846" w:hanging="420"/>
      </w:pPr>
      <w:rPr>
        <w:rFonts w:ascii="Wingdings" w:hAnsi="Wingdings"/>
      </w:rPr>
    </w:lvl>
    <w:lvl w:ilvl="1" w:tentative="0">
      <w:start w:val="1"/>
      <w:numFmt w:val="bullet"/>
      <w:lvlText w:val=""/>
      <w:lvlJc w:val="left"/>
      <w:pPr>
        <w:ind w:left="1266" w:hanging="420"/>
      </w:pPr>
      <w:rPr>
        <w:rFonts w:ascii="Wingdings" w:hAnsi="Wingdings"/>
      </w:rPr>
    </w:lvl>
    <w:lvl w:ilvl="2" w:tentative="0">
      <w:start w:val="1"/>
      <w:numFmt w:val="bullet"/>
      <w:lvlText w:val=""/>
      <w:lvlJc w:val="left"/>
      <w:pPr>
        <w:ind w:left="1686" w:hanging="420"/>
      </w:pPr>
      <w:rPr>
        <w:rFonts w:ascii="Wingdings" w:hAnsi="Wingdings"/>
      </w:rPr>
    </w:lvl>
    <w:lvl w:ilvl="3" w:tentative="0">
      <w:start w:val="1"/>
      <w:numFmt w:val="bullet"/>
      <w:lvlText w:val=""/>
      <w:lvlJc w:val="left"/>
      <w:pPr>
        <w:ind w:left="2106" w:hanging="420"/>
      </w:pPr>
      <w:rPr>
        <w:rFonts w:ascii="Wingdings" w:hAnsi="Wingdings"/>
      </w:rPr>
    </w:lvl>
    <w:lvl w:ilvl="4" w:tentative="0">
      <w:start w:val="1"/>
      <w:numFmt w:val="bullet"/>
      <w:lvlText w:val=""/>
      <w:lvlJc w:val="left"/>
      <w:pPr>
        <w:ind w:left="2526" w:hanging="420"/>
      </w:pPr>
      <w:rPr>
        <w:rFonts w:ascii="Wingdings" w:hAnsi="Wingdings"/>
      </w:rPr>
    </w:lvl>
    <w:lvl w:ilvl="5" w:tentative="0">
      <w:start w:val="1"/>
      <w:numFmt w:val="bullet"/>
      <w:lvlText w:val=""/>
      <w:lvlJc w:val="left"/>
      <w:pPr>
        <w:ind w:left="2946" w:hanging="420"/>
      </w:pPr>
      <w:rPr>
        <w:rFonts w:ascii="Wingdings" w:hAnsi="Wingdings"/>
      </w:rPr>
    </w:lvl>
    <w:lvl w:ilvl="6" w:tentative="0">
      <w:start w:val="1"/>
      <w:numFmt w:val="bullet"/>
      <w:lvlText w:val=""/>
      <w:lvlJc w:val="left"/>
      <w:pPr>
        <w:ind w:left="3366" w:hanging="420"/>
      </w:pPr>
      <w:rPr>
        <w:rFonts w:ascii="Wingdings" w:hAnsi="Wingdings"/>
      </w:rPr>
    </w:lvl>
    <w:lvl w:ilvl="7" w:tentative="0">
      <w:start w:val="1"/>
      <w:numFmt w:val="bullet"/>
      <w:lvlText w:val=""/>
      <w:lvlJc w:val="left"/>
      <w:pPr>
        <w:ind w:left="3786" w:hanging="420"/>
      </w:pPr>
      <w:rPr>
        <w:rFonts w:ascii="Wingdings" w:hAnsi="Wingdings"/>
      </w:rPr>
    </w:lvl>
    <w:lvl w:ilvl="8" w:tentative="0">
      <w:start w:val="1"/>
      <w:numFmt w:val="bullet"/>
      <w:lvlText w:val=""/>
      <w:lvlJc w:val="left"/>
      <w:pPr>
        <w:ind w:left="4206" w:hanging="420"/>
      </w:pPr>
      <w:rPr>
        <w:rFonts w:ascii="Wingdings" w:hAnsi="Wingdings"/>
      </w:rPr>
    </w:lvl>
  </w:abstractNum>
  <w:abstractNum w:abstractNumId="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2">
    <w:nsid w:val="44565F62"/>
    <w:multiLevelType w:val="multilevel"/>
    <w:tmpl w:val="44565F62"/>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3">
    <w:nsid w:val="6E806F55"/>
    <w:multiLevelType w:val="multilevel"/>
    <w:tmpl w:val="6E806F55"/>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docVars>
    <w:docVar w:name="commondata" w:val="䠃΍☨ᙃᐐ䠂΍☍ᙃᐐ䠀΍◰ᙃᐐ嘄ييꌳ噥يي晐&amp;ꌳ噥ييﳃꌳ噥يي馆&quot;ꌳ쳊يي䌇 ꌳ噥يييꌳ噥يي⿹ꌳ쳊ييꌉ噥يي馆&quot;ꌳ쳊ييي陗ꌳ噥يي振ꌳ찋يي匨ꌳ䌯ييي晐&amp;ꌳ噥ييﳃꌳ噥_x000a_ييೊ_x000a_ꌳ噥يي⼎ꌳييي벵(ꌳ噥يي振ꌳ쳊يي뙥ꌐ噥ييೊ_x000a_ꌳ噥ييጚ+ꌳ噥يي뙥ꌳ嘒يي耀ي㙥يي벵(ꌳ噥يي晐&amp;ꌳ噥يي馆&quot;ꌳ쳊يي䌕 ꌳ噥ييꌳ噥يي陗ꌳ噥يييꌗ䌯ييﳃꌳ噥يي⿹ꌳ쳊يي振ꌳ찙يييೊ_x000a_ꌳ噥يي뙥ꌳ噥يي耀ꌳ㙥ييي楿-ꌳꦴي耜ꌳ㙥ييጚ+ꌳ噥يي楿-ꌳيي茘-ꌞيꌳ瀀يي峃ꌳꩦييܩꌳ耠يي蜩ꌳ릔يي䂽!ꌳ俹يي邶(ي癥&quot;ييܛ*ꌳ瀀يي眣+ꌳ瀀يي,ꌳ瀀يي圛.ꌳ瀀ي%يييي'يي(يي)يي*يي+يي,يييي.يي/ي0يي1يي2يي3يييي5يي6ي7يي8ي9يي:ييي&lt;ي"/>
  </w:docVars>
  <w:rsids>
    <w:rsidRoot w:val="001876CD"/>
    <w:rsid w:val="001876CD"/>
    <w:rsid w:val="002C29D9"/>
    <w:rsid w:val="003B3839"/>
    <w:rsid w:val="00417447"/>
    <w:rsid w:val="004972A4"/>
    <w:rsid w:val="006D6B53"/>
    <w:rsid w:val="00824834"/>
    <w:rsid w:val="00AE15F4"/>
    <w:rsid w:val="00FF6730"/>
    <w:rsid w:val="096F2000"/>
    <w:rsid w:val="445B12A0"/>
    <w:rsid w:val="F7FB894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11"/>
    <w:basedOn w:val="1"/>
    <w:qFormat/>
    <w:uiPriority w:val="0"/>
    <w:pPr>
      <w:keepNext/>
      <w:keepLines/>
      <w:spacing w:before="340" w:after="330" w:line="578" w:lineRule="auto"/>
      <w:outlineLvl w:val="0"/>
    </w:pPr>
    <w:rPr>
      <w:b/>
      <w:bCs/>
      <w:kern w:val="44"/>
      <w:sz w:val="44"/>
    </w:rPr>
  </w:style>
  <w:style w:type="paragraph" w:customStyle="1" w:styleId="5">
    <w:name w:val="标题 21"/>
    <w:basedOn w:val="1"/>
    <w:qFormat/>
    <w:uiPriority w:val="0"/>
    <w:pPr>
      <w:keepNext/>
      <w:keepLines/>
      <w:spacing w:before="260" w:after="260" w:line="415" w:lineRule="auto"/>
      <w:outlineLvl w:val="1"/>
    </w:pPr>
    <w:rPr>
      <w:rFonts w:ascii="Luxi Sans" w:hAnsi="Luxi Sans" w:eastAsia="黑体"/>
      <w:b/>
      <w:sz w:val="32"/>
    </w:rPr>
  </w:style>
  <w:style w:type="paragraph" w:customStyle="1" w:styleId="6">
    <w:name w:val="标题 31"/>
    <w:basedOn w:val="1"/>
    <w:qFormat/>
    <w:uiPriority w:val="0"/>
    <w:pPr>
      <w:keepNext/>
      <w:keepLines/>
      <w:spacing w:before="260" w:after="260" w:line="415" w:lineRule="auto"/>
      <w:outlineLvl w:val="2"/>
    </w:pPr>
    <w:rPr>
      <w:b/>
      <w:sz w:val="32"/>
    </w:rPr>
  </w:style>
  <w:style w:type="character" w:customStyle="1" w:styleId="7">
    <w:name w:val="默认段落字体1"/>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正文文本1"/>
    <w:basedOn w:val="1"/>
    <w:qFormat/>
    <w:uiPriority w:val="0"/>
    <w:rPr>
      <w:rFonts w:ascii="华文中宋" w:eastAsia="华文中宋"/>
      <w:bCs/>
      <w:kern w:val="0"/>
      <w:sz w:val="28"/>
      <w:szCs w:val="22"/>
    </w:rPr>
  </w:style>
  <w:style w:type="paragraph" w:customStyle="1" w:styleId="10">
    <w:name w:val="正文文本缩进1"/>
    <w:basedOn w:val="1"/>
    <w:qFormat/>
    <w:uiPriority w:val="0"/>
    <w:pPr>
      <w:spacing w:after="120"/>
      <w:ind w:left="420" w:leftChars="200"/>
    </w:pPr>
    <w:rPr>
      <w:rFonts w:ascii="Times New Roman" w:hAnsi="Times New Roman"/>
    </w:rPr>
  </w:style>
  <w:style w:type="paragraph" w:customStyle="1" w:styleId="11">
    <w:name w:val="日期1"/>
    <w:basedOn w:val="1"/>
    <w:qFormat/>
    <w:uiPriority w:val="0"/>
    <w:pPr>
      <w:ind w:left="2500" w:leftChars="2500"/>
    </w:p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宋体"/>
      <w:kern w:val="0"/>
      <w:sz w:val="24"/>
      <w:szCs w:val="22"/>
    </w:rPr>
  </w:style>
  <w:style w:type="table" w:customStyle="1" w:styleId="15">
    <w:name w:val="网格型1"/>
    <w:basedOn w:val="8"/>
    <w:qFormat/>
    <w:uiPriority w:val="0"/>
    <w:rPr>
      <w:rFonts w:eastAsia="宋体"/>
    </w:rPr>
    <w:tblPr>
      <w:tblCellMar>
        <w:top w:w="0" w:type="dxa"/>
        <w:left w:w="0" w:type="dxa"/>
        <w:bottom w:w="0" w:type="dxa"/>
        <w:right w:w="0" w:type="dxa"/>
      </w:tblCellMar>
    </w:tblPr>
  </w:style>
  <w:style w:type="character" w:customStyle="1" w:styleId="16">
    <w:name w:val="超链接1"/>
    <w:basedOn w:val="7"/>
    <w:qFormat/>
    <w:uiPriority w:val="0"/>
    <w:rPr>
      <w:color w:val="0000FF"/>
      <w:u w:val="single"/>
    </w:rPr>
  </w:style>
  <w:style w:type="character" w:customStyle="1" w:styleId="17">
    <w:name w:val="apple-converted-space"/>
    <w:basedOn w:val="7"/>
    <w:qFormat/>
    <w:uiPriority w:val="0"/>
  </w:style>
  <w:style w:type="paragraph" w:customStyle="1" w:styleId="18">
    <w:name w:val="Table Paragraph"/>
    <w:basedOn w:val="1"/>
    <w:qFormat/>
    <w:uiPriority w:val="0"/>
    <w:rPr>
      <w:rFonts w:ascii="宋体"/>
      <w:kern w:val="0"/>
      <w:sz w:val="24"/>
      <w:szCs w:val="22"/>
      <w:lang w:val="zh-CN" w:bidi="zh-CN"/>
    </w:rPr>
  </w:style>
  <w:style w:type="paragraph" w:customStyle="1" w:styleId="19">
    <w:name w:val="列出段落1"/>
    <w:basedOn w:val="1"/>
    <w:qFormat/>
    <w:uiPriority w:val="0"/>
    <w:pPr>
      <w:ind w:firstLine="200" w:firstLineChars="200"/>
    </w:pPr>
    <w:rPr>
      <w:sz w:val="18"/>
      <w:szCs w:val="18"/>
    </w:rPr>
  </w:style>
  <w:style w:type="paragraph" w:customStyle="1" w:styleId="20">
    <w:name w:val="公文标题"/>
    <w:qFormat/>
    <w:uiPriority w:val="0"/>
    <w:pPr>
      <w:widowControl w:val="0"/>
      <w:jc w:val="center"/>
    </w:pPr>
    <w:rPr>
      <w:rFonts w:ascii="Calibri" w:hAnsi="Calibri" w:eastAsia="方正小标宋简体" w:cs="Times New Roman"/>
      <w:kern w:val="2"/>
      <w:sz w:val="44"/>
      <w:szCs w:val="32"/>
      <w:lang w:val="en-US" w:eastAsia="zh-CN" w:bidi="ar-SA"/>
    </w:rPr>
  </w:style>
  <w:style w:type="paragraph" w:customStyle="1" w:styleId="21">
    <w:name w:val="12、表格内左对齐正文"/>
    <w:basedOn w:val="1"/>
    <w:qFormat/>
    <w:uiPriority w:val="0"/>
    <w:pPr>
      <w:tabs>
        <w:tab w:val="left" w:pos="0"/>
      </w:tabs>
      <w:wordWrap w:val="0"/>
      <w:topLinePunct/>
      <w:snapToGrid w:val="0"/>
      <w:spacing w:line="360" w:lineRule="exact"/>
      <w:ind w:left="48" w:leftChars="20"/>
      <w:jc w:val="left"/>
    </w:pPr>
    <w:rPr>
      <w:rFonts w:hAnsi="宋体"/>
    </w:rPr>
  </w:style>
  <w:style w:type="paragraph" w:customStyle="1" w:styleId="22">
    <w:name w:val="p0"/>
    <w:basedOn w:val="1"/>
    <w:qFormat/>
    <w:uiPriority w:val="0"/>
    <w:pPr>
      <w:widowControl/>
    </w:pPr>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1493</Words>
  <Characters>8512</Characters>
  <Lines>70</Lines>
  <Paragraphs>19</Paragraphs>
  <TotalTime>8</TotalTime>
  <ScaleCrop>false</ScaleCrop>
  <LinksUpToDate>false</LinksUpToDate>
  <CharactersWithSpaces>9986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2024-09-04T16:33:00Z</dcterms:created>
  <dc:creator>何以弄墨舞长安</dc:creator>
  <cp:lastModifiedBy>user</cp:lastModifiedBy>
  <cp:lastPrinted>2014-06-29T23:24:00Z</cp:lastPrinted>
  <dcterms:modified xsi:type="dcterms:W3CDTF">2024-09-05T16:29:30Z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6AE95AB51078478F833981165950573B_12</vt:lpwstr>
  </property>
</Properties>
</file>