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6"/>
        <w:spacing w:line="360" w:lineRule="auto"/>
        <w:ind w:left="0" w:leftChars="0" w:firstLine="722" w:firstLineChars="200"/>
        <w:jc w:val="center"/>
        <w:rPr>
          <w:rFonts w:hint="eastAsia" w:ascii="宋体" w:hAnsi="宋体"/>
          <w:b/>
          <w:bCs/>
          <w:color w:val="000000"/>
          <w:sz w:val="36"/>
          <w:szCs w:val="36"/>
          <w:u w:val="single"/>
          <w:lang w:eastAsia="zh-CN"/>
        </w:rPr>
      </w:pPr>
    </w:p>
    <w:p>
      <w:pPr>
        <w:pStyle w:val="6"/>
        <w:spacing w:line="360" w:lineRule="auto"/>
        <w:ind w:left="0" w:leftChars="0" w:firstLine="722" w:firstLineChars="200"/>
        <w:jc w:val="center"/>
        <w:rPr>
          <w:rFonts w:hint="eastAsia" w:ascii="宋体" w:hAnsi="宋体"/>
          <w:b/>
          <w:bCs/>
          <w:color w:val="000000"/>
          <w:sz w:val="36"/>
          <w:szCs w:val="36"/>
          <w:u w:val="single"/>
          <w:lang w:eastAsia="zh-CN"/>
        </w:rPr>
      </w:pPr>
      <w:bookmarkStart w:id="58" w:name="_GoBack"/>
      <w:bookmarkEnd w:id="58"/>
      <w:r>
        <w:rPr>
          <w:rFonts w:hint="eastAsia" w:ascii="宋体" w:hAnsi="宋体"/>
          <w:b/>
          <w:bCs/>
          <w:color w:val="000000"/>
          <w:sz w:val="36"/>
          <w:szCs w:val="36"/>
          <w:u w:val="single"/>
          <w:lang w:eastAsia="zh-CN"/>
        </w:rPr>
        <w:t>达州市人力资源和社会保障局</w:t>
      </w:r>
    </w:p>
    <w:p>
      <w:pPr>
        <w:pStyle w:val="6"/>
        <w:spacing w:line="360" w:lineRule="auto"/>
        <w:ind w:left="0" w:leftChars="0" w:firstLine="722" w:firstLineChars="200"/>
        <w:jc w:val="center"/>
        <w:rPr>
          <w:rFonts w:hint="eastAsia" w:ascii="宋体" w:hAnsi="宋体"/>
          <w:b/>
          <w:bCs/>
          <w:color w:val="000000"/>
          <w:sz w:val="36"/>
          <w:szCs w:val="36"/>
          <w:u w:val="single"/>
        </w:rPr>
      </w:pPr>
      <w:r>
        <w:rPr>
          <w:rFonts w:hint="eastAsia" w:ascii="宋体" w:hAnsi="宋体"/>
          <w:b/>
          <w:bCs/>
          <w:color w:val="000000"/>
          <w:sz w:val="36"/>
          <w:szCs w:val="36"/>
          <w:u w:val="single"/>
        </w:rPr>
        <w:t>信息系统等保测评项目合同书</w:t>
      </w:r>
    </w:p>
    <w:p>
      <w:pPr>
        <w:rPr>
          <w:rFonts w:ascii="宋体" w:hAnsi="宋体" w:eastAsia="宋体"/>
        </w:rPr>
      </w:pPr>
    </w:p>
    <w:p>
      <w:pPr>
        <w:spacing w:line="360" w:lineRule="auto"/>
        <w:ind w:firstLine="480" w:firstLineChars="200"/>
        <w:jc w:val="right"/>
        <w:rPr>
          <w:rFonts w:ascii="宋体" w:hAnsi="宋体" w:eastAsia="宋体" w:cs="仿宋"/>
          <w:color w:val="000000"/>
          <w:sz w:val="24"/>
        </w:rPr>
      </w:pPr>
      <w:r>
        <w:rPr>
          <w:rFonts w:hint="eastAsia" w:ascii="宋体" w:hAnsi="宋体" w:eastAsia="宋体" w:cs="仿宋"/>
          <w:color w:val="000000"/>
          <w:sz w:val="24"/>
          <w:lang w:val="en-US" w:eastAsia="zh-CN"/>
        </w:rPr>
        <w:t xml:space="preserve"> </w:t>
      </w:r>
      <w:r>
        <w:rPr>
          <w:rFonts w:hint="eastAsia" w:ascii="宋体" w:hAnsi="宋体" w:eastAsia="宋体" w:cs="仿宋"/>
          <w:color w:val="000000"/>
          <w:sz w:val="24"/>
        </w:rPr>
        <w:t xml:space="preserve"> </w:t>
      </w:r>
      <w:r>
        <w:rPr>
          <w:rFonts w:ascii="宋体" w:hAnsi="宋体" w:eastAsia="宋体" w:cs="仿宋"/>
          <w:color w:val="000000"/>
          <w:sz w:val="24"/>
        </w:rPr>
        <w:t xml:space="preserve">          </w:t>
      </w:r>
      <w:r>
        <w:rPr>
          <w:rFonts w:ascii="宋体" w:hAnsi="宋体" w:eastAsia="宋体" w:cs="仿宋"/>
          <w:color w:val="000000"/>
          <w:sz w:val="24"/>
          <w:u w:val="single"/>
        </w:rPr>
        <w:t xml:space="preserve"> </w:t>
      </w:r>
      <w:r>
        <w:rPr>
          <w:rFonts w:ascii="宋体" w:hAnsi="宋体" w:eastAsia="宋体" w:cs="仿宋"/>
          <w:color w:val="000000"/>
          <w:sz w:val="24"/>
        </w:rPr>
        <w:t xml:space="preserve"> </w:t>
      </w:r>
    </w:p>
    <w:p>
      <w:pPr>
        <w:spacing w:line="360" w:lineRule="auto"/>
        <w:ind w:firstLine="480" w:firstLineChars="200"/>
        <w:rPr>
          <w:rFonts w:ascii="宋体" w:hAnsi="宋体" w:eastAsia="宋体"/>
          <w:color w:val="000000"/>
          <w:sz w:val="24"/>
        </w:rPr>
      </w:pPr>
      <w:r>
        <w:rPr>
          <w:rFonts w:hint="eastAsia" w:ascii="宋体" w:hAnsi="宋体" w:eastAsia="宋体"/>
          <w:color w:val="000000"/>
          <w:sz w:val="24"/>
        </w:rPr>
        <w:t>采购人（</w:t>
      </w:r>
      <w:r>
        <w:rPr>
          <w:rFonts w:ascii="宋体" w:hAnsi="宋体" w:eastAsia="宋体"/>
          <w:color w:val="000000"/>
          <w:sz w:val="24"/>
        </w:rPr>
        <w:t>甲方</w:t>
      </w:r>
      <w:r>
        <w:rPr>
          <w:rFonts w:hint="eastAsia" w:ascii="宋体" w:hAnsi="宋体" w:eastAsia="宋体"/>
          <w:color w:val="000000"/>
          <w:sz w:val="24"/>
        </w:rPr>
        <w:t>）</w:t>
      </w:r>
      <w:r>
        <w:rPr>
          <w:rFonts w:ascii="宋体" w:hAnsi="宋体" w:eastAsia="宋体"/>
          <w:color w:val="000000"/>
          <w:sz w:val="24"/>
        </w:rPr>
        <w:t>：</w:t>
      </w:r>
      <w:r>
        <w:rPr>
          <w:rFonts w:hint="eastAsia" w:ascii="宋体" w:hAnsi="宋体" w:eastAsia="宋体"/>
          <w:color w:val="000000"/>
          <w:sz w:val="24"/>
          <w:u w:val="single"/>
          <w:lang w:val="en-US" w:eastAsia="zh-CN"/>
        </w:rPr>
        <w:t xml:space="preserve">           </w:t>
      </w:r>
      <w:r>
        <w:rPr>
          <w:rFonts w:ascii="宋体" w:hAnsi="宋体" w:eastAsia="宋体"/>
          <w:color w:val="000000"/>
          <w:sz w:val="24"/>
          <w:u w:val="single"/>
        </w:rPr>
        <w:t xml:space="preserve">                </w:t>
      </w:r>
    </w:p>
    <w:p>
      <w:pPr>
        <w:spacing w:line="360" w:lineRule="auto"/>
        <w:ind w:firstLine="480" w:firstLineChars="200"/>
        <w:rPr>
          <w:rFonts w:ascii="宋体" w:hAnsi="宋体" w:eastAsia="宋体"/>
          <w:color w:val="000000"/>
          <w:sz w:val="24"/>
          <w:u w:val="single"/>
        </w:rPr>
      </w:pPr>
      <w:r>
        <w:rPr>
          <w:rFonts w:hint="eastAsia" w:ascii="宋体" w:hAnsi="宋体" w:eastAsia="宋体"/>
          <w:color w:val="000000"/>
          <w:sz w:val="24"/>
        </w:rPr>
        <w:t>供应商（乙</w:t>
      </w:r>
      <w:r>
        <w:rPr>
          <w:rFonts w:ascii="宋体" w:hAnsi="宋体" w:eastAsia="宋体"/>
          <w:color w:val="000000"/>
          <w:sz w:val="24"/>
        </w:rPr>
        <w:t>方</w:t>
      </w:r>
      <w:r>
        <w:rPr>
          <w:rFonts w:hint="eastAsia" w:ascii="宋体" w:hAnsi="宋体" w:eastAsia="宋体"/>
          <w:color w:val="000000"/>
          <w:sz w:val="24"/>
        </w:rPr>
        <w:t>）</w:t>
      </w:r>
      <w:r>
        <w:rPr>
          <w:rFonts w:ascii="宋体" w:hAnsi="宋体" w:eastAsia="宋体"/>
          <w:color w:val="000000"/>
          <w:sz w:val="24"/>
        </w:rPr>
        <w:t>：</w:t>
      </w:r>
      <w:r>
        <w:rPr>
          <w:rFonts w:hint="eastAsia" w:ascii="宋体" w:hAnsi="宋体" w:eastAsia="宋体"/>
          <w:color w:val="000000"/>
          <w:sz w:val="24"/>
          <w:u w:val="single"/>
          <w:lang w:val="en-US" w:eastAsia="zh-CN"/>
        </w:rPr>
        <w:t xml:space="preserve">                          </w:t>
      </w:r>
      <w:r>
        <w:rPr>
          <w:rFonts w:ascii="宋体" w:hAnsi="宋体" w:eastAsia="宋体"/>
          <w:color w:val="000000"/>
          <w:sz w:val="24"/>
          <w:u w:val="single"/>
        </w:rPr>
        <w:t xml:space="preserve"> </w:t>
      </w:r>
    </w:p>
    <w:p>
      <w:pPr>
        <w:spacing w:line="360" w:lineRule="auto"/>
        <w:ind w:firstLine="480" w:firstLineChars="200"/>
        <w:rPr>
          <w:rFonts w:ascii="宋体" w:hAnsi="宋体" w:eastAsia="宋体"/>
          <w:color w:val="000000"/>
          <w:sz w:val="24"/>
        </w:rPr>
      </w:pPr>
      <w:r>
        <w:rPr>
          <w:rFonts w:ascii="宋体" w:hAnsi="宋体" w:eastAsia="宋体"/>
          <w:color w:val="000000"/>
          <w:sz w:val="24"/>
        </w:rPr>
        <w:t>依据《中华人民共和国</w:t>
      </w:r>
      <w:r>
        <w:rPr>
          <w:rFonts w:hint="eastAsia" w:ascii="宋体" w:hAnsi="宋体" w:eastAsia="宋体"/>
          <w:color w:val="000000"/>
          <w:sz w:val="24"/>
        </w:rPr>
        <w:t>民法典</w:t>
      </w:r>
      <w:r>
        <w:rPr>
          <w:rFonts w:hint="eastAsia" w:ascii="宋体" w:hAnsi="宋体" w:eastAsia="宋体"/>
          <w:color w:val="000000"/>
          <w:sz w:val="24"/>
          <w:lang w:eastAsia="zh-CN"/>
        </w:rPr>
        <w:t>》《</w:t>
      </w:r>
      <w:r>
        <w:rPr>
          <w:rFonts w:ascii="宋体" w:hAnsi="宋体" w:eastAsia="宋体"/>
          <w:color w:val="000000"/>
          <w:sz w:val="24"/>
        </w:rPr>
        <w:t>中华人民共和国政府采购法》</w:t>
      </w:r>
      <w:r>
        <w:rPr>
          <w:rFonts w:hint="eastAsia" w:ascii="宋体" w:hAnsi="宋体" w:eastAsia="宋体"/>
          <w:color w:val="000000"/>
          <w:sz w:val="24"/>
        </w:rPr>
        <w:t>与项目行业有关的法律法规，以及</w:t>
      </w:r>
      <w:r>
        <w:rPr>
          <w:rFonts w:hint="eastAsia" w:ascii="宋体" w:hAnsi="宋体" w:eastAsia="宋体"/>
          <w:color w:val="000000"/>
          <w:sz w:val="24"/>
          <w:u w:val="single"/>
          <w:lang w:eastAsia="zh-CN"/>
        </w:rPr>
        <w:t>达州市人力资源和社会保障局</w:t>
      </w:r>
      <w:r>
        <w:rPr>
          <w:rFonts w:hint="eastAsia" w:ascii="宋体" w:hAnsi="宋体" w:eastAsia="宋体"/>
          <w:color w:val="000000"/>
          <w:sz w:val="24"/>
          <w:u w:val="single"/>
        </w:rPr>
        <w:t>信息系统等保测评、密评</w:t>
      </w:r>
      <w:r>
        <w:rPr>
          <w:rFonts w:ascii="宋体" w:hAnsi="宋体" w:eastAsia="宋体"/>
          <w:color w:val="000000"/>
          <w:sz w:val="24"/>
          <w:u w:val="single"/>
        </w:rPr>
        <w:t>项目</w:t>
      </w:r>
      <w:r>
        <w:rPr>
          <w:rFonts w:ascii="宋体" w:hAnsi="宋体" w:eastAsia="宋体"/>
          <w:color w:val="000000"/>
          <w:sz w:val="24"/>
        </w:rPr>
        <w:t>的</w:t>
      </w:r>
      <w:r>
        <w:rPr>
          <w:rFonts w:hint="eastAsia" w:ascii="宋体" w:hAnsi="宋体" w:eastAsia="宋体"/>
          <w:color w:val="000000"/>
          <w:sz w:val="24"/>
        </w:rPr>
        <w:t>《招标</w:t>
      </w:r>
      <w:r>
        <w:rPr>
          <w:rFonts w:hint="eastAsia" w:ascii="宋体" w:hAnsi="宋体" w:eastAsia="宋体"/>
          <w:color w:val="000000"/>
          <w:sz w:val="24"/>
          <w:lang w:eastAsia="zh-CN"/>
        </w:rPr>
        <w:t>公告</w:t>
      </w:r>
      <w:r>
        <w:rPr>
          <w:rFonts w:hint="eastAsia" w:ascii="宋体" w:hAnsi="宋体" w:eastAsia="宋体"/>
          <w:color w:val="000000"/>
          <w:sz w:val="24"/>
        </w:rPr>
        <w:t>》</w:t>
      </w:r>
      <w:r>
        <w:rPr>
          <w:rFonts w:ascii="宋体" w:hAnsi="宋体" w:eastAsia="宋体"/>
          <w:color w:val="000000"/>
          <w:sz w:val="24"/>
        </w:rPr>
        <w:t>，</w:t>
      </w:r>
      <w:r>
        <w:rPr>
          <w:rFonts w:hint="eastAsia" w:ascii="宋体" w:hAnsi="宋体" w:eastAsia="宋体"/>
          <w:color w:val="000000"/>
          <w:sz w:val="24"/>
        </w:rPr>
        <w:t>乙方的《投标文件》及《中标通知书》，甲、乙双方同意签订本合同。详细技术说明及其他有关合同项目的特定信息由合同附件予以说明，合同附件及本项目的《招标</w:t>
      </w:r>
      <w:r>
        <w:rPr>
          <w:rFonts w:hint="eastAsia" w:ascii="宋体" w:hAnsi="宋体" w:eastAsia="宋体"/>
          <w:color w:val="000000"/>
          <w:sz w:val="24"/>
          <w:lang w:eastAsia="zh-CN"/>
        </w:rPr>
        <w:t>公告》《</w:t>
      </w:r>
      <w:r>
        <w:rPr>
          <w:rFonts w:hint="eastAsia" w:ascii="宋体" w:hAnsi="宋体" w:eastAsia="宋体"/>
          <w:color w:val="000000"/>
          <w:sz w:val="24"/>
        </w:rPr>
        <w:t>投标文件</w:t>
      </w:r>
      <w:r>
        <w:rPr>
          <w:rFonts w:hint="eastAsia" w:ascii="宋体" w:hAnsi="宋体" w:eastAsia="宋体"/>
          <w:color w:val="000000"/>
          <w:sz w:val="24"/>
          <w:lang w:eastAsia="zh-CN"/>
        </w:rPr>
        <w:t>》《</w:t>
      </w:r>
      <w:r>
        <w:rPr>
          <w:rFonts w:hint="eastAsia" w:ascii="宋体" w:hAnsi="宋体" w:eastAsia="宋体"/>
          <w:color w:val="000000"/>
          <w:sz w:val="24"/>
        </w:rPr>
        <w:t>中标通知书》等均为本合同的组成部分。</w:t>
      </w:r>
      <w:r>
        <w:rPr>
          <w:rFonts w:ascii="宋体" w:hAnsi="宋体" w:eastAsia="宋体"/>
          <w:color w:val="000000"/>
          <w:sz w:val="24"/>
        </w:rPr>
        <w:t xml:space="preserve"> </w:t>
      </w:r>
    </w:p>
    <w:p>
      <w:pPr>
        <w:numPr>
          <w:ilvl w:val="0"/>
          <w:numId w:val="2"/>
        </w:numPr>
        <w:spacing w:line="360" w:lineRule="auto"/>
        <w:rPr>
          <w:rFonts w:ascii="宋体" w:hAnsi="宋体" w:eastAsia="宋体"/>
          <w:b/>
          <w:color w:val="000000"/>
          <w:sz w:val="24"/>
        </w:rPr>
      </w:pPr>
      <w:r>
        <w:rPr>
          <w:rFonts w:hint="eastAsia" w:ascii="宋体" w:hAnsi="宋体" w:eastAsia="宋体"/>
          <w:b/>
          <w:color w:val="000000"/>
          <w:sz w:val="24"/>
        </w:rPr>
        <w:t>项目基本情况</w:t>
      </w:r>
    </w:p>
    <w:p>
      <w:pPr>
        <w:tabs>
          <w:tab w:val="left" w:pos="1106"/>
          <w:tab w:val="left" w:pos="2211"/>
          <w:tab w:val="left" w:pos="3317"/>
          <w:tab w:val="left" w:pos="4423"/>
          <w:tab w:val="left" w:pos="5528"/>
          <w:tab w:val="left" w:pos="6634"/>
          <w:tab w:val="left" w:pos="7740"/>
        </w:tabs>
        <w:spacing w:line="460" w:lineRule="exact"/>
        <w:ind w:firstLine="480" w:firstLineChars="200"/>
        <w:rPr>
          <w:rFonts w:ascii="宋体" w:hAnsi="宋体" w:eastAsia="宋体" w:cs="宋体"/>
          <w:bCs/>
          <w:sz w:val="24"/>
        </w:rPr>
      </w:pPr>
      <w:r>
        <w:rPr>
          <w:rFonts w:hint="eastAsia" w:ascii="宋体" w:hAnsi="宋体" w:eastAsia="宋体" w:cs="宋体"/>
          <w:bCs/>
          <w:sz w:val="24"/>
        </w:rPr>
        <w:t>1</w:t>
      </w:r>
      <w:r>
        <w:rPr>
          <w:rFonts w:ascii="宋体" w:hAnsi="宋体" w:eastAsia="宋体" w:cs="宋体"/>
          <w:bCs/>
          <w:sz w:val="24"/>
        </w:rPr>
        <w:t>.</w:t>
      </w:r>
      <w:r>
        <w:rPr>
          <w:rFonts w:hint="eastAsia" w:ascii="宋体" w:hAnsi="宋体" w:eastAsia="宋体" w:cs="宋体"/>
          <w:bCs/>
          <w:sz w:val="24"/>
        </w:rPr>
        <w:t>根据等级保护测评的工作要求，测评范围覆盖安全管理中心、安全物理环境、安全通信网络、安全区域边界、安全计算环境、安全管理制度，以及云计算安全、移动互联安全、物联网安全、工控制系统安全等扩展方面的要求。</w:t>
      </w:r>
    </w:p>
    <w:p>
      <w:pPr>
        <w:tabs>
          <w:tab w:val="left" w:pos="1106"/>
          <w:tab w:val="left" w:pos="2211"/>
          <w:tab w:val="left" w:pos="3317"/>
          <w:tab w:val="left" w:pos="4423"/>
          <w:tab w:val="left" w:pos="5528"/>
          <w:tab w:val="left" w:pos="6634"/>
          <w:tab w:val="left" w:pos="7740"/>
        </w:tabs>
        <w:spacing w:line="460" w:lineRule="exact"/>
        <w:ind w:firstLine="420" w:firstLineChars="175"/>
        <w:rPr>
          <w:rFonts w:ascii="宋体" w:hAnsi="宋体" w:eastAsia="宋体" w:cs="宋体"/>
          <w:bCs/>
          <w:sz w:val="24"/>
        </w:rPr>
      </w:pPr>
      <w:r>
        <w:rPr>
          <w:rFonts w:hint="eastAsia" w:ascii="宋体" w:hAnsi="宋体" w:eastAsia="宋体" w:cs="宋体"/>
          <w:bCs/>
          <w:sz w:val="24"/>
        </w:rPr>
        <w:t>2</w:t>
      </w:r>
      <w:r>
        <w:rPr>
          <w:rFonts w:ascii="宋体" w:hAnsi="宋体" w:eastAsia="宋体" w:cs="宋体"/>
          <w:bCs/>
          <w:sz w:val="24"/>
        </w:rPr>
        <w:t>.</w:t>
      </w:r>
      <w:r>
        <w:rPr>
          <w:rFonts w:hint="eastAsia" w:ascii="宋体" w:hAnsi="宋体" w:eastAsia="宋体" w:cs="宋体"/>
          <w:bCs/>
          <w:sz w:val="24"/>
        </w:rPr>
        <w:t>具体服务内容包括：</w:t>
      </w:r>
    </w:p>
    <w:p>
      <w:pPr>
        <w:tabs>
          <w:tab w:val="left" w:pos="1106"/>
          <w:tab w:val="left" w:pos="2211"/>
          <w:tab w:val="left" w:pos="3317"/>
          <w:tab w:val="left" w:pos="4423"/>
          <w:tab w:val="left" w:pos="5528"/>
          <w:tab w:val="left" w:pos="6634"/>
          <w:tab w:val="left" w:pos="7740"/>
        </w:tabs>
        <w:spacing w:line="460" w:lineRule="exact"/>
        <w:ind w:firstLine="480" w:firstLineChars="200"/>
        <w:rPr>
          <w:rFonts w:ascii="宋体" w:hAnsi="宋体" w:eastAsia="宋体" w:cs="宋体"/>
          <w:bCs/>
          <w:sz w:val="24"/>
        </w:rPr>
      </w:pPr>
      <w:r>
        <w:rPr>
          <w:rFonts w:hint="eastAsia" w:ascii="宋体" w:hAnsi="宋体" w:eastAsia="宋体" w:cs="宋体"/>
          <w:bCs/>
          <w:sz w:val="24"/>
        </w:rPr>
        <w:t>（1）协助业主单位进行信息系统的信息安全等级定级和备案工作。</w:t>
      </w:r>
    </w:p>
    <w:p>
      <w:pPr>
        <w:tabs>
          <w:tab w:val="left" w:pos="1106"/>
          <w:tab w:val="left" w:pos="2211"/>
          <w:tab w:val="left" w:pos="3317"/>
          <w:tab w:val="left" w:pos="4423"/>
          <w:tab w:val="left" w:pos="5528"/>
          <w:tab w:val="left" w:pos="6634"/>
          <w:tab w:val="left" w:pos="7740"/>
        </w:tabs>
        <w:spacing w:line="460" w:lineRule="exact"/>
        <w:ind w:firstLine="480" w:firstLineChars="200"/>
        <w:rPr>
          <w:rFonts w:ascii="宋体" w:hAnsi="宋体" w:eastAsia="宋体" w:cs="宋体"/>
          <w:bCs/>
          <w:sz w:val="24"/>
        </w:rPr>
      </w:pPr>
      <w:r>
        <w:rPr>
          <w:rFonts w:hint="eastAsia" w:ascii="宋体" w:hAnsi="宋体" w:eastAsia="宋体" w:cs="宋体"/>
          <w:bCs/>
          <w:sz w:val="24"/>
        </w:rPr>
        <w:t>（2）差距测评，至少包括：</w:t>
      </w:r>
    </w:p>
    <w:p>
      <w:pPr>
        <w:tabs>
          <w:tab w:val="left" w:pos="1106"/>
          <w:tab w:val="left" w:pos="2211"/>
          <w:tab w:val="left" w:pos="3317"/>
          <w:tab w:val="left" w:pos="4423"/>
          <w:tab w:val="left" w:pos="5528"/>
          <w:tab w:val="left" w:pos="6634"/>
          <w:tab w:val="left" w:pos="7740"/>
        </w:tabs>
        <w:spacing w:line="460" w:lineRule="exact"/>
        <w:ind w:firstLine="480" w:firstLineChars="200"/>
        <w:rPr>
          <w:rFonts w:ascii="宋体" w:hAnsi="宋体" w:eastAsia="宋体" w:cs="宋体"/>
          <w:bCs/>
          <w:sz w:val="24"/>
        </w:rPr>
      </w:pPr>
      <w:r>
        <w:rPr>
          <w:rFonts w:hint="eastAsia" w:ascii="宋体" w:hAnsi="宋体" w:eastAsia="宋体" w:cs="宋体"/>
          <w:bCs/>
          <w:sz w:val="24"/>
        </w:rPr>
        <w:t xml:space="preserve"> 安全技术测评。包括安全物理环境、安全通信网络、安全区域边界、安全计算环境、安全管理中心方面的安全测评。</w:t>
      </w:r>
    </w:p>
    <w:p>
      <w:pPr>
        <w:tabs>
          <w:tab w:val="left" w:pos="1106"/>
          <w:tab w:val="left" w:pos="2211"/>
          <w:tab w:val="left" w:pos="3317"/>
          <w:tab w:val="left" w:pos="4423"/>
          <w:tab w:val="left" w:pos="5528"/>
          <w:tab w:val="left" w:pos="6634"/>
          <w:tab w:val="left" w:pos="7740"/>
        </w:tabs>
        <w:spacing w:line="460" w:lineRule="exact"/>
        <w:ind w:firstLine="480" w:firstLineChars="200"/>
        <w:rPr>
          <w:rFonts w:ascii="宋体" w:hAnsi="宋体" w:eastAsia="宋体" w:cs="宋体"/>
          <w:bCs/>
          <w:sz w:val="24"/>
        </w:rPr>
      </w:pPr>
      <w:r>
        <w:rPr>
          <w:rFonts w:hint="eastAsia" w:ascii="宋体" w:hAnsi="宋体" w:eastAsia="宋体" w:cs="宋体"/>
          <w:bCs/>
          <w:sz w:val="24"/>
        </w:rPr>
        <w:t>安全管理测评。包括安全管理制度、安全管理机构、安全管理人员、安全系统建设和安全系统运维五个方面的安全测评。</w:t>
      </w:r>
    </w:p>
    <w:p>
      <w:pPr>
        <w:tabs>
          <w:tab w:val="left" w:pos="1106"/>
          <w:tab w:val="left" w:pos="2211"/>
          <w:tab w:val="left" w:pos="3317"/>
          <w:tab w:val="left" w:pos="4423"/>
          <w:tab w:val="left" w:pos="5528"/>
          <w:tab w:val="left" w:pos="6634"/>
          <w:tab w:val="left" w:pos="7740"/>
        </w:tabs>
        <w:spacing w:line="460" w:lineRule="exact"/>
        <w:ind w:firstLine="480" w:firstLineChars="200"/>
        <w:rPr>
          <w:rFonts w:ascii="宋体" w:hAnsi="宋体" w:eastAsia="宋体" w:cs="宋体"/>
          <w:bCs/>
          <w:sz w:val="24"/>
        </w:rPr>
      </w:pPr>
      <w:r>
        <w:rPr>
          <w:rFonts w:hint="eastAsia" w:ascii="宋体" w:hAnsi="宋体" w:eastAsia="宋体" w:cs="宋体"/>
          <w:bCs/>
          <w:sz w:val="24"/>
        </w:rPr>
        <w:t>形成问题汇总及整改意见报告。依据测评结果，对等级测评结果进行汇总统计（测评项符合情况及比例、单元测评结果符合情况比例以及整体测评结果）；通过对信息系统基本安全保护状态的分析给出初步测评结论。根据测评结果制定《系统等级保护测评问题汇总及整改意见报告》，列出被测信息系统中存在的主要问题以、整改意见。</w:t>
      </w:r>
    </w:p>
    <w:p>
      <w:pPr>
        <w:tabs>
          <w:tab w:val="left" w:pos="1106"/>
          <w:tab w:val="left" w:pos="2211"/>
          <w:tab w:val="left" w:pos="3317"/>
          <w:tab w:val="left" w:pos="4423"/>
          <w:tab w:val="left" w:pos="5528"/>
          <w:tab w:val="left" w:pos="6634"/>
          <w:tab w:val="left" w:pos="7740"/>
        </w:tabs>
        <w:spacing w:line="460" w:lineRule="exact"/>
        <w:ind w:firstLine="480" w:firstLineChars="200"/>
        <w:rPr>
          <w:rFonts w:ascii="宋体" w:hAnsi="宋体" w:eastAsia="宋体" w:cs="宋体"/>
          <w:bCs/>
          <w:sz w:val="24"/>
        </w:rPr>
      </w:pPr>
      <w:r>
        <w:rPr>
          <w:rFonts w:hint="eastAsia" w:ascii="宋体" w:hAnsi="宋体" w:eastAsia="宋体" w:cs="宋体"/>
          <w:bCs/>
          <w:sz w:val="24"/>
        </w:rPr>
        <w:t>（3）协助完成整改工作。依据整改方案，为安全整改的各项工作提供技术咨询服务。</w:t>
      </w:r>
    </w:p>
    <w:p>
      <w:pPr>
        <w:tabs>
          <w:tab w:val="left" w:pos="1106"/>
          <w:tab w:val="left" w:pos="2211"/>
          <w:tab w:val="left" w:pos="3317"/>
          <w:tab w:val="left" w:pos="4423"/>
          <w:tab w:val="left" w:pos="5528"/>
          <w:tab w:val="left" w:pos="6634"/>
          <w:tab w:val="left" w:pos="7740"/>
        </w:tabs>
        <w:spacing w:line="460" w:lineRule="exact"/>
        <w:ind w:firstLine="480" w:firstLineChars="200"/>
        <w:rPr>
          <w:rFonts w:ascii="宋体" w:hAnsi="宋体" w:eastAsia="宋体" w:cs="宋体"/>
          <w:bCs/>
          <w:sz w:val="24"/>
        </w:rPr>
      </w:pPr>
      <w:r>
        <w:rPr>
          <w:rFonts w:hint="eastAsia" w:ascii="宋体" w:hAnsi="宋体" w:eastAsia="宋体" w:cs="宋体"/>
          <w:bCs/>
          <w:sz w:val="24"/>
        </w:rPr>
        <w:t>（4）等级测评，至少包括：按照等级保护相关标准对系统从安全技术、安全管理等方面进行等级测评工作。</w:t>
      </w:r>
    </w:p>
    <w:p>
      <w:pPr>
        <w:numPr>
          <w:ilvl w:val="0"/>
          <w:numId w:val="2"/>
        </w:numPr>
        <w:spacing w:line="360" w:lineRule="auto"/>
        <w:rPr>
          <w:rFonts w:ascii="宋体" w:hAnsi="宋体" w:eastAsia="宋体"/>
          <w:b/>
          <w:color w:val="000000"/>
          <w:sz w:val="24"/>
        </w:rPr>
      </w:pPr>
      <w:r>
        <w:rPr>
          <w:rFonts w:hint="eastAsia" w:ascii="宋体" w:hAnsi="宋体" w:eastAsia="宋体"/>
          <w:b/>
          <w:color w:val="000000"/>
          <w:sz w:val="24"/>
        </w:rPr>
        <w:t>合同期限</w:t>
      </w:r>
    </w:p>
    <w:p>
      <w:pPr>
        <w:spacing w:line="360" w:lineRule="auto"/>
        <w:ind w:firstLine="480" w:firstLineChars="200"/>
        <w:rPr>
          <w:rFonts w:ascii="宋体" w:hAnsi="宋体" w:eastAsia="宋体"/>
          <w:b/>
          <w:color w:val="000000"/>
          <w:sz w:val="24"/>
        </w:rPr>
      </w:pPr>
      <w:r>
        <w:rPr>
          <w:rFonts w:hint="eastAsia" w:ascii="宋体" w:hAnsi="宋体" w:eastAsia="宋体"/>
          <w:color w:val="000000"/>
          <w:sz w:val="24"/>
          <w:szCs w:val="24"/>
        </w:rPr>
        <w:t>自合同签订之日起</w:t>
      </w:r>
      <w:r>
        <w:rPr>
          <w:rFonts w:hint="eastAsia" w:ascii="宋体" w:hAnsi="宋体" w:eastAsia="宋体"/>
          <w:color w:val="000000"/>
          <w:sz w:val="24"/>
          <w:szCs w:val="24"/>
          <w:lang w:eastAsia="zh-CN"/>
        </w:rPr>
        <w:t>乙方需在</w:t>
      </w:r>
      <w:r>
        <w:rPr>
          <w:rFonts w:hint="eastAsia" w:ascii="宋体" w:hAnsi="宋体" w:eastAsia="宋体"/>
          <w:color w:val="000000"/>
          <w:sz w:val="24"/>
          <w:szCs w:val="24"/>
          <w:lang w:val="en-US" w:eastAsia="zh-CN"/>
        </w:rPr>
        <w:t>45日内完成初测，如甲方网络系统不需要整改，乙方自出具初测报告后30日内</w:t>
      </w:r>
      <w:r>
        <w:rPr>
          <w:rFonts w:hint="eastAsia" w:ascii="宋体" w:hAnsi="宋体" w:eastAsia="宋体"/>
          <w:color w:val="000000"/>
          <w:sz w:val="24"/>
          <w:szCs w:val="24"/>
        </w:rPr>
        <w:t>出具符合甲方系统现状的《网络安全等级保护测评报告》《信息安全风险评估报告》报告之日止</w:t>
      </w:r>
      <w:r>
        <w:rPr>
          <w:rFonts w:hint="eastAsia" w:ascii="宋体" w:hAnsi="宋体" w:eastAsia="宋体"/>
          <w:color w:val="000000"/>
          <w:sz w:val="24"/>
          <w:szCs w:val="24"/>
          <w:lang w:eastAsia="zh-CN"/>
        </w:rPr>
        <w:t>，如甲方网络系统需整改，则甲方根据乙方提供的《整改建议》要求，</w:t>
      </w:r>
      <w:r>
        <w:rPr>
          <w:rFonts w:hint="eastAsia" w:ascii="宋体" w:hAnsi="宋体" w:eastAsia="宋体"/>
          <w:color w:val="000000"/>
          <w:sz w:val="24"/>
          <w:szCs w:val="24"/>
          <w:lang w:val="en-US" w:eastAsia="zh-CN"/>
        </w:rPr>
        <w:t>30日内完成整改后，乙方30日内完成复测并出具</w:t>
      </w:r>
      <w:r>
        <w:rPr>
          <w:rFonts w:hint="eastAsia" w:ascii="宋体" w:hAnsi="宋体" w:eastAsia="宋体"/>
          <w:color w:val="000000"/>
          <w:sz w:val="24"/>
          <w:szCs w:val="24"/>
        </w:rPr>
        <w:t>符合甲方系统现状的《网络安全等级保护测评报告》《信息安全风险评估报告》报告。</w:t>
      </w:r>
    </w:p>
    <w:p>
      <w:pPr>
        <w:numPr>
          <w:ilvl w:val="0"/>
          <w:numId w:val="2"/>
        </w:numPr>
        <w:spacing w:line="360" w:lineRule="auto"/>
        <w:rPr>
          <w:rFonts w:ascii="宋体" w:hAnsi="宋体" w:eastAsia="宋体"/>
          <w:b/>
          <w:color w:val="000000"/>
          <w:sz w:val="24"/>
        </w:rPr>
      </w:pPr>
      <w:bookmarkStart w:id="0" w:name="_Toc251768862"/>
      <w:bookmarkStart w:id="1" w:name="_Toc239568418"/>
      <w:bookmarkStart w:id="2" w:name="_Toc241833903"/>
      <w:bookmarkStart w:id="3" w:name="_Toc238984975"/>
      <w:bookmarkStart w:id="4" w:name="_Toc225670751"/>
      <w:bookmarkStart w:id="5" w:name="_Toc237145406"/>
      <w:bookmarkStart w:id="6" w:name="_Toc211911348"/>
      <w:bookmarkStart w:id="7" w:name="_Toc225244852"/>
      <w:bookmarkStart w:id="8" w:name="_Toc286993786"/>
      <w:bookmarkStart w:id="9" w:name="_Toc225654644"/>
      <w:bookmarkStart w:id="10" w:name="_Toc239233914"/>
      <w:bookmarkStart w:id="11" w:name="_Toc211854449"/>
      <w:bookmarkStart w:id="12" w:name="_Toc185395249"/>
      <w:bookmarkStart w:id="13" w:name="_Toc282696226"/>
      <w:bookmarkStart w:id="14" w:name="_Toc247334841"/>
      <w:bookmarkStart w:id="15" w:name="_Toc283019214"/>
      <w:bookmarkStart w:id="16" w:name="_Toc212019594"/>
      <w:bookmarkStart w:id="17" w:name="_Toc232492928"/>
      <w:r>
        <w:rPr>
          <w:rFonts w:hint="eastAsia" w:ascii="宋体" w:hAnsi="宋体" w:eastAsia="宋体"/>
          <w:b/>
          <w:color w:val="000000"/>
          <w:sz w:val="24"/>
        </w:rPr>
        <w:t>服务内容与质量标准</w:t>
      </w:r>
    </w:p>
    <w:p>
      <w:pPr>
        <w:spacing w:line="460" w:lineRule="exact"/>
        <w:ind w:firstLine="420" w:firstLineChars="175"/>
        <w:rPr>
          <w:rFonts w:ascii="宋体" w:hAnsi="宋体" w:eastAsia="宋体" w:cs="宋体"/>
          <w:bCs/>
          <w:sz w:val="24"/>
        </w:rPr>
      </w:pPr>
      <w:r>
        <w:rPr>
          <w:rFonts w:hint="eastAsia" w:ascii="宋体" w:hAnsi="宋体" w:eastAsia="宋体" w:cs="宋体"/>
          <w:bCs/>
          <w:sz w:val="24"/>
        </w:rPr>
        <w:t>1</w:t>
      </w:r>
      <w:r>
        <w:rPr>
          <w:rFonts w:ascii="宋体" w:hAnsi="宋体" w:eastAsia="宋体" w:cs="宋体"/>
          <w:bCs/>
          <w:sz w:val="24"/>
        </w:rPr>
        <w:t>.</w:t>
      </w:r>
      <w:r>
        <w:rPr>
          <w:rFonts w:hint="eastAsia" w:ascii="宋体" w:hAnsi="宋体" w:eastAsia="宋体" w:cs="宋体"/>
          <w:bCs/>
          <w:sz w:val="24"/>
        </w:rPr>
        <w:t>据国家关于信息安全等级保护制度落实的相关要求，对相关信息系统开展安全等级测评工作，以指导安全整改，提高信息系统的安全防护能力。</w:t>
      </w:r>
    </w:p>
    <w:p>
      <w:pPr>
        <w:spacing w:line="460" w:lineRule="exact"/>
        <w:ind w:firstLine="420" w:firstLineChars="175"/>
        <w:rPr>
          <w:rFonts w:ascii="宋体" w:hAnsi="宋体" w:eastAsia="宋体" w:cs="宋体"/>
          <w:bCs/>
          <w:sz w:val="24"/>
        </w:rPr>
      </w:pPr>
      <w:r>
        <w:rPr>
          <w:rFonts w:hint="eastAsia" w:ascii="宋体" w:hAnsi="宋体" w:eastAsia="宋体" w:cs="宋体"/>
          <w:bCs/>
          <w:sz w:val="24"/>
          <w:lang w:val="en-US" w:eastAsia="zh-CN"/>
        </w:rPr>
        <w:t>2</w:t>
      </w:r>
      <w:r>
        <w:rPr>
          <w:rFonts w:ascii="宋体" w:hAnsi="宋体" w:eastAsia="宋体" w:cs="宋体"/>
          <w:bCs/>
          <w:sz w:val="24"/>
        </w:rPr>
        <w:t>.</w:t>
      </w:r>
      <w:r>
        <w:rPr>
          <w:rFonts w:hint="eastAsia" w:ascii="宋体" w:hAnsi="宋体" w:eastAsia="宋体" w:cs="宋体"/>
          <w:bCs/>
          <w:sz w:val="24"/>
        </w:rPr>
        <w:t>本次安全等级测评项目的服务范围包括以下信息系统：</w:t>
      </w:r>
    </w:p>
    <w:tbl>
      <w:tblPr>
        <w:tblStyle w:val="10"/>
        <w:tblW w:w="8021" w:type="dxa"/>
        <w:jc w:val="center"/>
        <w:tblLayout w:type="fixed"/>
        <w:tblCellMar>
          <w:top w:w="0" w:type="dxa"/>
          <w:left w:w="108" w:type="dxa"/>
          <w:bottom w:w="0" w:type="dxa"/>
          <w:right w:w="108" w:type="dxa"/>
        </w:tblCellMar>
      </w:tblPr>
      <w:tblGrid>
        <w:gridCol w:w="1392"/>
        <w:gridCol w:w="3967"/>
        <w:gridCol w:w="954"/>
        <w:gridCol w:w="1708"/>
      </w:tblGrid>
      <w:tr>
        <w:tblPrEx>
          <w:tblCellMar>
            <w:top w:w="0" w:type="dxa"/>
            <w:left w:w="108" w:type="dxa"/>
            <w:bottom w:w="0" w:type="dxa"/>
            <w:right w:w="108" w:type="dxa"/>
          </w:tblCellMar>
        </w:tblPrEx>
        <w:trPr>
          <w:trHeight w:val="523"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pPr>
              <w:widowControl/>
              <w:tabs>
                <w:tab w:val="left" w:pos="1106"/>
                <w:tab w:val="left" w:pos="2211"/>
                <w:tab w:val="left" w:pos="3317"/>
                <w:tab w:val="left" w:pos="4423"/>
                <w:tab w:val="left" w:pos="5528"/>
                <w:tab w:val="left" w:pos="6634"/>
                <w:tab w:val="left" w:pos="7740"/>
              </w:tabs>
              <w:spacing w:line="460" w:lineRule="exact"/>
              <w:jc w:val="center"/>
              <w:rPr>
                <w:rFonts w:ascii="宋体" w:hAnsi="宋体" w:eastAsia="宋体" w:cs="宋体"/>
                <w:sz w:val="24"/>
              </w:rPr>
            </w:pPr>
            <w:r>
              <w:rPr>
                <w:rFonts w:hint="eastAsia" w:ascii="宋体" w:hAnsi="宋体" w:eastAsia="宋体" w:cs="宋体"/>
                <w:sz w:val="24"/>
              </w:rPr>
              <w:t>序号</w:t>
            </w:r>
          </w:p>
        </w:tc>
        <w:tc>
          <w:tcPr>
            <w:tcW w:w="3967" w:type="dxa"/>
            <w:tcBorders>
              <w:top w:val="single" w:color="auto" w:sz="4" w:space="0"/>
              <w:left w:val="nil"/>
              <w:bottom w:val="single" w:color="auto" w:sz="4" w:space="0"/>
              <w:right w:val="single" w:color="auto" w:sz="4" w:space="0"/>
            </w:tcBorders>
            <w:vAlign w:val="center"/>
          </w:tcPr>
          <w:p>
            <w:pPr>
              <w:widowControl/>
              <w:tabs>
                <w:tab w:val="left" w:pos="1106"/>
                <w:tab w:val="left" w:pos="2211"/>
                <w:tab w:val="left" w:pos="3317"/>
                <w:tab w:val="left" w:pos="4423"/>
                <w:tab w:val="left" w:pos="5528"/>
                <w:tab w:val="left" w:pos="6634"/>
                <w:tab w:val="left" w:pos="7740"/>
              </w:tabs>
              <w:spacing w:line="460" w:lineRule="exact"/>
              <w:jc w:val="center"/>
              <w:rPr>
                <w:rFonts w:ascii="宋体" w:hAnsi="宋体" w:eastAsia="宋体" w:cs="宋体"/>
                <w:sz w:val="24"/>
              </w:rPr>
            </w:pPr>
            <w:r>
              <w:rPr>
                <w:rFonts w:hint="eastAsia" w:ascii="宋体" w:hAnsi="宋体" w:eastAsia="宋体" w:cs="宋体"/>
                <w:sz w:val="24"/>
              </w:rPr>
              <w:t>服务名称</w:t>
            </w:r>
          </w:p>
        </w:tc>
        <w:tc>
          <w:tcPr>
            <w:tcW w:w="954" w:type="dxa"/>
            <w:tcBorders>
              <w:top w:val="single" w:color="auto" w:sz="4" w:space="0"/>
              <w:left w:val="nil"/>
              <w:bottom w:val="single" w:color="auto" w:sz="4" w:space="0"/>
              <w:right w:val="single" w:color="auto" w:sz="4" w:space="0"/>
            </w:tcBorders>
            <w:vAlign w:val="center"/>
          </w:tcPr>
          <w:p>
            <w:pPr>
              <w:widowControl/>
              <w:tabs>
                <w:tab w:val="left" w:pos="1106"/>
                <w:tab w:val="left" w:pos="2211"/>
                <w:tab w:val="left" w:pos="3317"/>
                <w:tab w:val="left" w:pos="4423"/>
                <w:tab w:val="left" w:pos="5528"/>
                <w:tab w:val="left" w:pos="6634"/>
                <w:tab w:val="left" w:pos="7740"/>
              </w:tabs>
              <w:spacing w:line="460" w:lineRule="exact"/>
              <w:jc w:val="center"/>
              <w:rPr>
                <w:rFonts w:ascii="宋体" w:hAnsi="宋体" w:eastAsia="宋体" w:cs="宋体"/>
                <w:sz w:val="24"/>
              </w:rPr>
            </w:pPr>
            <w:r>
              <w:rPr>
                <w:rFonts w:hint="eastAsia" w:ascii="宋体" w:hAnsi="宋体" w:eastAsia="宋体" w:cs="宋体"/>
                <w:sz w:val="24"/>
              </w:rPr>
              <w:t>定级</w:t>
            </w:r>
          </w:p>
        </w:tc>
        <w:tc>
          <w:tcPr>
            <w:tcW w:w="1708" w:type="dxa"/>
            <w:tcBorders>
              <w:top w:val="single" w:color="auto" w:sz="4" w:space="0"/>
              <w:left w:val="nil"/>
              <w:bottom w:val="single" w:color="auto" w:sz="4" w:space="0"/>
              <w:right w:val="single" w:color="auto" w:sz="4" w:space="0"/>
            </w:tcBorders>
          </w:tcPr>
          <w:p>
            <w:pPr>
              <w:widowControl/>
              <w:tabs>
                <w:tab w:val="left" w:pos="1106"/>
                <w:tab w:val="left" w:pos="2211"/>
                <w:tab w:val="left" w:pos="3317"/>
                <w:tab w:val="left" w:pos="4423"/>
                <w:tab w:val="left" w:pos="5528"/>
                <w:tab w:val="left" w:pos="6634"/>
                <w:tab w:val="left" w:pos="7740"/>
              </w:tabs>
              <w:spacing w:line="460" w:lineRule="exact"/>
              <w:jc w:val="center"/>
              <w:rPr>
                <w:rFonts w:ascii="宋体" w:hAnsi="宋体" w:eastAsia="宋体" w:cs="宋体"/>
                <w:sz w:val="24"/>
              </w:rPr>
            </w:pPr>
            <w:r>
              <w:rPr>
                <w:rFonts w:hint="eastAsia" w:ascii="宋体" w:hAnsi="宋体" w:eastAsia="宋体" w:cs="宋体"/>
                <w:sz w:val="24"/>
              </w:rPr>
              <w:t>服务内容</w:t>
            </w:r>
          </w:p>
        </w:tc>
      </w:tr>
      <w:tr>
        <w:tblPrEx>
          <w:tblCellMar>
            <w:top w:w="0" w:type="dxa"/>
            <w:left w:w="108" w:type="dxa"/>
            <w:bottom w:w="0" w:type="dxa"/>
            <w:right w:w="108" w:type="dxa"/>
          </w:tblCellMar>
        </w:tblPrEx>
        <w:trPr>
          <w:trHeight w:val="272"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pPr>
              <w:widowControl/>
              <w:tabs>
                <w:tab w:val="left" w:pos="1106"/>
                <w:tab w:val="left" w:pos="2211"/>
                <w:tab w:val="left" w:pos="3317"/>
                <w:tab w:val="left" w:pos="4423"/>
                <w:tab w:val="left" w:pos="5528"/>
                <w:tab w:val="left" w:pos="6634"/>
                <w:tab w:val="left" w:pos="7740"/>
              </w:tabs>
              <w:spacing w:line="460" w:lineRule="exact"/>
              <w:jc w:val="center"/>
              <w:rPr>
                <w:rFonts w:ascii="宋体" w:hAnsi="宋体" w:eastAsia="宋体" w:cs="宋体"/>
                <w:sz w:val="24"/>
              </w:rPr>
            </w:pPr>
            <w:r>
              <w:rPr>
                <w:rFonts w:hint="eastAsia" w:ascii="宋体" w:hAnsi="宋体" w:eastAsia="宋体" w:cs="宋体"/>
                <w:sz w:val="24"/>
              </w:rPr>
              <w:t>1</w:t>
            </w:r>
          </w:p>
        </w:tc>
        <w:tc>
          <w:tcPr>
            <w:tcW w:w="3967" w:type="dxa"/>
            <w:tcBorders>
              <w:top w:val="single" w:color="auto" w:sz="4" w:space="0"/>
              <w:left w:val="single" w:color="auto" w:sz="4" w:space="0"/>
              <w:bottom w:val="single" w:color="auto" w:sz="4" w:space="0"/>
              <w:right w:val="single" w:color="auto" w:sz="4" w:space="0"/>
            </w:tcBorders>
          </w:tcPr>
          <w:p>
            <w:pPr>
              <w:widowControl/>
              <w:tabs>
                <w:tab w:val="left" w:pos="1106"/>
                <w:tab w:val="left" w:pos="2211"/>
                <w:tab w:val="left" w:pos="3317"/>
                <w:tab w:val="left" w:pos="4423"/>
                <w:tab w:val="left" w:pos="5528"/>
                <w:tab w:val="left" w:pos="6634"/>
                <w:tab w:val="left" w:pos="7740"/>
              </w:tabs>
              <w:spacing w:line="460" w:lineRule="exact"/>
              <w:jc w:val="left"/>
              <w:rPr>
                <w:rFonts w:hint="eastAsia" w:ascii="宋体" w:hAnsi="宋体" w:eastAsia="宋体" w:cs="宋体"/>
                <w:sz w:val="24"/>
                <w:lang w:eastAsia="zh-CN"/>
              </w:rPr>
            </w:pPr>
            <w:r>
              <w:rPr>
                <w:rFonts w:hint="eastAsia" w:ascii="宋体" w:hAnsi="宋体" w:eastAsia="宋体"/>
                <w:spacing w:val="-3"/>
                <w:lang w:eastAsia="zh-CN"/>
              </w:rPr>
              <w:t>达州市人社公共服务信息平台</w:t>
            </w:r>
          </w:p>
        </w:tc>
        <w:tc>
          <w:tcPr>
            <w:tcW w:w="954" w:type="dxa"/>
            <w:tcBorders>
              <w:top w:val="single" w:color="auto" w:sz="4" w:space="0"/>
              <w:left w:val="single" w:color="auto" w:sz="4" w:space="0"/>
              <w:bottom w:val="single" w:color="auto" w:sz="4" w:space="0"/>
              <w:right w:val="single" w:color="auto" w:sz="4" w:space="0"/>
            </w:tcBorders>
          </w:tcPr>
          <w:p>
            <w:pPr>
              <w:widowControl/>
              <w:tabs>
                <w:tab w:val="left" w:pos="1106"/>
                <w:tab w:val="left" w:pos="2211"/>
                <w:tab w:val="left" w:pos="3317"/>
                <w:tab w:val="left" w:pos="4423"/>
                <w:tab w:val="left" w:pos="5528"/>
                <w:tab w:val="left" w:pos="6634"/>
                <w:tab w:val="left" w:pos="7740"/>
              </w:tabs>
              <w:spacing w:line="460" w:lineRule="exact"/>
              <w:jc w:val="center"/>
              <w:rPr>
                <w:rFonts w:ascii="宋体" w:hAnsi="宋体" w:eastAsia="宋体" w:cs="宋体"/>
                <w:sz w:val="24"/>
              </w:rPr>
            </w:pPr>
            <w:r>
              <w:rPr>
                <w:rFonts w:ascii="宋体" w:hAnsi="宋体" w:eastAsia="宋体"/>
                <w:spacing w:val="-5"/>
              </w:rPr>
              <w:t>三级</w:t>
            </w:r>
          </w:p>
        </w:tc>
        <w:tc>
          <w:tcPr>
            <w:tcW w:w="1708" w:type="dxa"/>
            <w:tcBorders>
              <w:top w:val="single" w:color="auto" w:sz="4" w:space="0"/>
              <w:left w:val="single" w:color="auto" w:sz="4" w:space="0"/>
              <w:bottom w:val="single" w:color="auto" w:sz="4" w:space="0"/>
              <w:right w:val="single" w:color="auto" w:sz="4" w:space="0"/>
            </w:tcBorders>
          </w:tcPr>
          <w:p>
            <w:pPr>
              <w:widowControl/>
              <w:tabs>
                <w:tab w:val="left" w:pos="1106"/>
                <w:tab w:val="left" w:pos="2211"/>
                <w:tab w:val="left" w:pos="3317"/>
                <w:tab w:val="left" w:pos="4423"/>
                <w:tab w:val="left" w:pos="5528"/>
                <w:tab w:val="left" w:pos="6634"/>
                <w:tab w:val="left" w:pos="7740"/>
              </w:tabs>
              <w:spacing w:line="460" w:lineRule="exact"/>
              <w:jc w:val="center"/>
              <w:rPr>
                <w:rFonts w:ascii="宋体" w:hAnsi="宋体" w:eastAsia="宋体"/>
                <w:spacing w:val="-5"/>
              </w:rPr>
            </w:pPr>
            <w:r>
              <w:rPr>
                <w:rFonts w:hint="eastAsia" w:ascii="宋体" w:hAnsi="宋体" w:eastAsia="宋体"/>
                <w:spacing w:val="-5"/>
              </w:rPr>
              <w:t>等保测评一次</w:t>
            </w:r>
          </w:p>
        </w:tc>
      </w:tr>
      <w:tr>
        <w:tblPrEx>
          <w:tblCellMar>
            <w:top w:w="0" w:type="dxa"/>
            <w:left w:w="108" w:type="dxa"/>
            <w:bottom w:w="0" w:type="dxa"/>
            <w:right w:w="108" w:type="dxa"/>
          </w:tblCellMar>
        </w:tblPrEx>
        <w:trPr>
          <w:trHeight w:val="724"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pPr>
              <w:widowControl/>
              <w:tabs>
                <w:tab w:val="left" w:pos="1106"/>
                <w:tab w:val="left" w:pos="2211"/>
                <w:tab w:val="left" w:pos="3317"/>
                <w:tab w:val="left" w:pos="4423"/>
                <w:tab w:val="left" w:pos="5528"/>
                <w:tab w:val="left" w:pos="6634"/>
                <w:tab w:val="left" w:pos="7740"/>
              </w:tabs>
              <w:spacing w:line="46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2</w:t>
            </w:r>
          </w:p>
        </w:tc>
        <w:tc>
          <w:tcPr>
            <w:tcW w:w="3967" w:type="dxa"/>
            <w:tcBorders>
              <w:top w:val="single" w:color="auto" w:sz="4" w:space="0"/>
              <w:left w:val="single" w:color="auto" w:sz="4" w:space="0"/>
              <w:bottom w:val="single" w:color="auto" w:sz="4" w:space="0"/>
              <w:right w:val="single" w:color="auto" w:sz="4" w:space="0"/>
            </w:tcBorders>
          </w:tcPr>
          <w:p>
            <w:pPr>
              <w:widowControl/>
              <w:tabs>
                <w:tab w:val="left" w:pos="1106"/>
                <w:tab w:val="left" w:pos="2211"/>
                <w:tab w:val="left" w:pos="3317"/>
                <w:tab w:val="left" w:pos="4423"/>
                <w:tab w:val="left" w:pos="5528"/>
                <w:tab w:val="left" w:pos="6634"/>
                <w:tab w:val="left" w:pos="7740"/>
              </w:tabs>
              <w:spacing w:line="460" w:lineRule="exact"/>
              <w:jc w:val="left"/>
              <w:rPr>
                <w:rFonts w:ascii="宋体" w:hAnsi="宋体" w:eastAsia="宋体"/>
                <w:spacing w:val="-4"/>
              </w:rPr>
            </w:pPr>
            <w:r>
              <w:rPr>
                <w:rFonts w:hint="eastAsia" w:ascii="宋体" w:hAnsi="宋体" w:eastAsia="宋体"/>
                <w:spacing w:val="-1"/>
              </w:rPr>
              <w:t>信息安全风险评估服务</w:t>
            </w:r>
          </w:p>
        </w:tc>
        <w:tc>
          <w:tcPr>
            <w:tcW w:w="954" w:type="dxa"/>
            <w:tcBorders>
              <w:top w:val="single" w:color="auto" w:sz="4" w:space="0"/>
              <w:left w:val="single" w:color="auto" w:sz="4" w:space="0"/>
              <w:bottom w:val="single" w:color="auto" w:sz="4" w:space="0"/>
              <w:right w:val="single" w:color="auto" w:sz="4" w:space="0"/>
            </w:tcBorders>
          </w:tcPr>
          <w:p>
            <w:pPr>
              <w:widowControl/>
              <w:tabs>
                <w:tab w:val="left" w:pos="1106"/>
                <w:tab w:val="left" w:pos="2211"/>
                <w:tab w:val="left" w:pos="3317"/>
                <w:tab w:val="left" w:pos="4423"/>
                <w:tab w:val="left" w:pos="5528"/>
                <w:tab w:val="left" w:pos="6634"/>
                <w:tab w:val="left" w:pos="7740"/>
              </w:tabs>
              <w:spacing w:line="460" w:lineRule="exact"/>
              <w:jc w:val="center"/>
              <w:rPr>
                <w:rFonts w:ascii="宋体" w:hAnsi="宋体" w:eastAsia="宋体"/>
                <w:spacing w:val="-7"/>
              </w:rPr>
            </w:pPr>
            <w:r>
              <w:rPr>
                <w:rFonts w:hint="eastAsia" w:ascii="宋体" w:hAnsi="宋体" w:eastAsia="宋体"/>
                <w:spacing w:val="-7"/>
              </w:rPr>
              <w:t>/</w:t>
            </w:r>
          </w:p>
        </w:tc>
        <w:tc>
          <w:tcPr>
            <w:tcW w:w="1708" w:type="dxa"/>
            <w:tcBorders>
              <w:top w:val="single" w:color="auto" w:sz="4" w:space="0"/>
              <w:left w:val="single" w:color="auto" w:sz="4" w:space="0"/>
              <w:bottom w:val="single" w:color="auto" w:sz="4" w:space="0"/>
              <w:right w:val="single" w:color="auto" w:sz="4" w:space="0"/>
            </w:tcBorders>
          </w:tcPr>
          <w:p>
            <w:pPr>
              <w:widowControl/>
              <w:tabs>
                <w:tab w:val="left" w:pos="1106"/>
                <w:tab w:val="left" w:pos="2211"/>
                <w:tab w:val="left" w:pos="3317"/>
                <w:tab w:val="left" w:pos="4423"/>
                <w:tab w:val="left" w:pos="5528"/>
                <w:tab w:val="left" w:pos="6634"/>
                <w:tab w:val="left" w:pos="7740"/>
              </w:tabs>
              <w:spacing w:line="460" w:lineRule="exact"/>
              <w:jc w:val="center"/>
              <w:rPr>
                <w:rFonts w:ascii="宋体" w:hAnsi="宋体" w:eastAsia="宋体"/>
                <w:spacing w:val="-1"/>
              </w:rPr>
            </w:pPr>
            <w:r>
              <w:rPr>
                <w:rFonts w:hint="eastAsia" w:ascii="宋体" w:hAnsi="宋体" w:eastAsia="宋体"/>
                <w:spacing w:val="-1"/>
              </w:rPr>
              <w:t>安全服务</w:t>
            </w:r>
          </w:p>
        </w:tc>
      </w:tr>
    </w:tbl>
    <w:p>
      <w:pPr>
        <w:spacing w:after="100" w:afterAutospacing="1" w:line="360" w:lineRule="auto"/>
        <w:ind w:left="0" w:firstLine="417" w:firstLineChars="174"/>
        <w:rPr>
          <w:rFonts w:ascii="宋体" w:hAnsi="宋体" w:eastAsia="宋体"/>
          <w:color w:val="000000"/>
          <w:sz w:val="24"/>
          <w:szCs w:val="24"/>
        </w:rPr>
      </w:pPr>
      <w:r>
        <w:rPr>
          <w:rFonts w:hint="eastAsia" w:ascii="宋体" w:hAnsi="宋体" w:eastAsia="宋体"/>
          <w:color w:val="000000"/>
          <w:sz w:val="24"/>
          <w:szCs w:val="24"/>
          <w:lang w:val="en-US" w:eastAsia="zh-CN"/>
        </w:rPr>
        <w:t>3</w:t>
      </w:r>
      <w:r>
        <w:rPr>
          <w:rFonts w:ascii="宋体" w:hAnsi="宋体" w:eastAsia="宋体"/>
          <w:color w:val="000000"/>
          <w:sz w:val="24"/>
          <w:szCs w:val="24"/>
        </w:rPr>
        <w:t>.</w:t>
      </w:r>
      <w:r>
        <w:rPr>
          <w:rFonts w:hint="eastAsia" w:ascii="宋体" w:hAnsi="宋体" w:eastAsia="宋体"/>
          <w:color w:val="000000"/>
          <w:sz w:val="24"/>
          <w:szCs w:val="24"/>
        </w:rPr>
        <w:t>如等保测评结论“差”，乙方根据《网络安全等级保护基本要求》等国家标准规范提供相应的整改建议书，甲方需参照自身定级标准，按照国家和公安部要求进行安全建设整改，在甲方整改过程中乙方提供技术咨询服务，甲方在整改期限内完成整改工作的乙方提供一次免费复测服务。</w:t>
      </w:r>
    </w:p>
    <w:p>
      <w:pPr>
        <w:spacing w:before="0" w:after="0" w:line="360" w:lineRule="auto"/>
        <w:ind w:firstLine="420"/>
        <w:rPr>
          <w:rFonts w:hint="default" w:ascii="宋体" w:hAnsi="宋体" w:eastAsia="宋体" w:cstheme="minorBidi"/>
          <w:b w:val="0"/>
          <w:bCs w:val="0"/>
          <w:color w:val="000000"/>
          <w:kern w:val="2"/>
          <w:sz w:val="24"/>
          <w:szCs w:val="24"/>
          <w:lang w:val="en-US"/>
        </w:rPr>
      </w:pPr>
      <w:r>
        <w:rPr>
          <w:rFonts w:hint="eastAsia" w:ascii="宋体" w:hAnsi="宋体" w:eastAsia="宋体"/>
          <w:color w:val="000000"/>
          <w:sz w:val="24"/>
          <w:szCs w:val="24"/>
          <w:lang w:val="en-US" w:eastAsia="zh-CN"/>
        </w:rPr>
        <w:t>4</w:t>
      </w:r>
      <w:r>
        <w:rPr>
          <w:rFonts w:ascii="宋体" w:hAnsi="宋体" w:eastAsia="宋体"/>
          <w:color w:val="000000"/>
          <w:sz w:val="24"/>
          <w:szCs w:val="24"/>
        </w:rPr>
        <w:t>.</w:t>
      </w:r>
      <w:r>
        <w:rPr>
          <w:rFonts w:hint="eastAsia" w:ascii="宋体" w:hAnsi="宋体" w:eastAsia="宋体"/>
          <w:color w:val="000000"/>
          <w:sz w:val="24"/>
          <w:szCs w:val="24"/>
        </w:rPr>
        <w:t>等保整改周期：经乙方初测，如甲方网络系统需进行整改，根据四川省公安厅《关于进一步明确网络安全等级保护测评相关工作事宜的通知》的要求，整改周期为自乙方初次出具《整改建议》之日起</w:t>
      </w:r>
      <w:r>
        <w:rPr>
          <w:rFonts w:hint="eastAsia" w:ascii="宋体" w:hAnsi="宋体" w:eastAsia="宋体"/>
          <w:color w:val="000000"/>
          <w:sz w:val="24"/>
          <w:szCs w:val="24"/>
          <w:lang w:val="en-US" w:eastAsia="zh-CN"/>
        </w:rPr>
        <w:t>30日内完成整改</w:t>
      </w:r>
      <w:r>
        <w:rPr>
          <w:rFonts w:hint="eastAsia" w:ascii="宋体" w:hAnsi="宋体" w:eastAsia="宋体"/>
          <w:color w:val="000000"/>
          <w:sz w:val="24"/>
          <w:szCs w:val="24"/>
        </w:rPr>
        <w:t>，若</w:t>
      </w:r>
      <w:r>
        <w:rPr>
          <w:rFonts w:hint="eastAsia" w:ascii="宋体" w:hAnsi="宋体" w:eastAsia="宋体"/>
          <w:color w:val="000000"/>
          <w:sz w:val="24"/>
          <w:szCs w:val="24"/>
          <w:lang w:val="en-US" w:eastAsia="zh-CN"/>
        </w:rPr>
        <w:t>30日内</w:t>
      </w:r>
      <w:r>
        <w:rPr>
          <w:rFonts w:hint="eastAsia" w:ascii="宋体" w:hAnsi="宋体" w:eastAsia="宋体"/>
          <w:color w:val="000000"/>
          <w:sz w:val="24"/>
          <w:szCs w:val="24"/>
        </w:rPr>
        <w:t>甲方未整改完毕或甲方拒绝整改，乙方在保证测评真实性基础上根据甲方实际整改情况出具优、良、中、差结论的《网络安全等级保护测评报告》。</w:t>
      </w:r>
    </w:p>
    <w:p>
      <w:pPr>
        <w:spacing w:before="0" w:after="0" w:line="360" w:lineRule="auto"/>
        <w:ind w:firstLine="420"/>
        <w:rPr>
          <w:rFonts w:ascii="宋体" w:hAnsi="宋体" w:eastAsia="宋体" w:cstheme="minorBidi"/>
          <w:b w:val="0"/>
          <w:bCs w:val="0"/>
          <w:color w:val="000000"/>
          <w:kern w:val="2"/>
          <w:sz w:val="24"/>
          <w:szCs w:val="24"/>
        </w:rPr>
      </w:pPr>
      <w:r>
        <w:rPr>
          <w:rFonts w:hint="default" w:ascii="宋体" w:hAnsi="宋体" w:eastAsia="宋体" w:cstheme="minorBidi"/>
          <w:b w:val="0"/>
          <w:bCs w:val="0"/>
          <w:color w:val="000000"/>
          <w:kern w:val="2"/>
          <w:sz w:val="24"/>
          <w:szCs w:val="24"/>
          <w:lang w:val="en-US" w:eastAsia="zh-CN"/>
        </w:rPr>
        <w:t>6</w:t>
      </w:r>
      <w:r>
        <w:rPr>
          <w:rFonts w:ascii="宋体" w:hAnsi="宋体" w:eastAsia="宋体" w:cstheme="minorBidi"/>
          <w:b w:val="0"/>
          <w:bCs w:val="0"/>
          <w:color w:val="000000"/>
          <w:kern w:val="2"/>
          <w:sz w:val="24"/>
          <w:szCs w:val="24"/>
        </w:rPr>
        <w:t>.</w:t>
      </w:r>
      <w:r>
        <w:rPr>
          <w:rFonts w:hint="default" w:ascii="宋体" w:hAnsi="宋体" w:eastAsia="宋体" w:cstheme="minorBidi"/>
          <w:b w:val="0"/>
          <w:bCs w:val="0"/>
          <w:color w:val="000000"/>
          <w:kern w:val="2"/>
          <w:sz w:val="24"/>
          <w:szCs w:val="24"/>
        </w:rPr>
        <w:t xml:space="preserve"> 质量标准</w:t>
      </w:r>
    </w:p>
    <w:p>
      <w:pPr>
        <w:pStyle w:val="17"/>
        <w:numPr>
          <w:ilvl w:val="0"/>
          <w:numId w:val="3"/>
        </w:numPr>
        <w:spacing w:line="460" w:lineRule="exact"/>
        <w:jc w:val="left"/>
        <w:rPr>
          <w:rFonts w:ascii="宋体" w:hAnsi="宋体" w:cs="宋体"/>
          <w:sz w:val="24"/>
          <w:szCs w:val="24"/>
        </w:rPr>
      </w:pPr>
      <w:r>
        <w:rPr>
          <w:rFonts w:hint="eastAsia" w:ascii="宋体" w:hAnsi="宋体" w:cs="宋体"/>
          <w:sz w:val="24"/>
          <w:szCs w:val="24"/>
        </w:rPr>
        <w:t>《中华人民共和国计算机信息系统安全保护条例》(国务院令147号)</w:t>
      </w:r>
    </w:p>
    <w:p>
      <w:pPr>
        <w:pStyle w:val="17"/>
        <w:numPr>
          <w:ilvl w:val="0"/>
          <w:numId w:val="3"/>
        </w:numPr>
        <w:spacing w:line="460" w:lineRule="exact"/>
        <w:jc w:val="left"/>
        <w:rPr>
          <w:rFonts w:ascii="宋体" w:hAnsi="宋体" w:cs="宋体"/>
          <w:sz w:val="24"/>
          <w:szCs w:val="24"/>
        </w:rPr>
      </w:pPr>
      <w:r>
        <w:rPr>
          <w:rFonts w:hint="eastAsia" w:ascii="宋体" w:hAnsi="宋体" w:cs="宋体"/>
          <w:sz w:val="24"/>
          <w:szCs w:val="24"/>
        </w:rPr>
        <w:t>《信息安全等级保护管理办法》（公通字[2007]43号</w:t>
      </w:r>
    </w:p>
    <w:p>
      <w:pPr>
        <w:pStyle w:val="17"/>
        <w:numPr>
          <w:ilvl w:val="0"/>
          <w:numId w:val="3"/>
        </w:numPr>
        <w:spacing w:line="460" w:lineRule="exact"/>
        <w:jc w:val="left"/>
        <w:rPr>
          <w:rFonts w:ascii="宋体" w:hAnsi="宋体" w:cs="宋体"/>
          <w:sz w:val="24"/>
          <w:szCs w:val="24"/>
        </w:rPr>
      </w:pPr>
      <w:r>
        <w:rPr>
          <w:rFonts w:hint="eastAsia" w:ascii="宋体" w:hAnsi="宋体" w:cs="宋体"/>
          <w:sz w:val="24"/>
          <w:szCs w:val="24"/>
        </w:rPr>
        <w:t>《计算机信息系统安全保护等级划分准则》（GB17859-1999）</w:t>
      </w:r>
    </w:p>
    <w:p>
      <w:pPr>
        <w:pStyle w:val="17"/>
        <w:numPr>
          <w:ilvl w:val="0"/>
          <w:numId w:val="3"/>
        </w:numPr>
        <w:spacing w:line="460" w:lineRule="exact"/>
        <w:jc w:val="left"/>
        <w:rPr>
          <w:rFonts w:ascii="宋体" w:hAnsi="宋体" w:cs="宋体"/>
          <w:sz w:val="24"/>
          <w:szCs w:val="24"/>
        </w:rPr>
      </w:pPr>
      <w:r>
        <w:rPr>
          <w:rFonts w:hint="eastAsia" w:ascii="宋体" w:hAnsi="宋体" w:cs="宋体"/>
          <w:sz w:val="24"/>
          <w:szCs w:val="24"/>
        </w:rPr>
        <w:t>《信息安全技术网络安全等级保护定级指南》（GB/T22240-2020）</w:t>
      </w:r>
    </w:p>
    <w:p>
      <w:pPr>
        <w:pStyle w:val="17"/>
        <w:numPr>
          <w:ilvl w:val="0"/>
          <w:numId w:val="3"/>
        </w:numPr>
        <w:spacing w:line="460" w:lineRule="exact"/>
        <w:jc w:val="left"/>
        <w:rPr>
          <w:rFonts w:ascii="宋体" w:hAnsi="宋体" w:cs="宋体"/>
          <w:sz w:val="24"/>
          <w:szCs w:val="24"/>
        </w:rPr>
      </w:pPr>
      <w:r>
        <w:rPr>
          <w:rFonts w:hint="eastAsia" w:ascii="宋体" w:hAnsi="宋体" w:cs="宋体"/>
          <w:sz w:val="24"/>
          <w:szCs w:val="24"/>
        </w:rPr>
        <w:t>《信息安全技术网络安全等级保护基本要求》（GB/T22239-2019)</w:t>
      </w:r>
    </w:p>
    <w:p>
      <w:pPr>
        <w:pStyle w:val="17"/>
        <w:numPr>
          <w:ilvl w:val="0"/>
          <w:numId w:val="3"/>
        </w:numPr>
        <w:spacing w:line="460" w:lineRule="exact"/>
        <w:jc w:val="left"/>
        <w:rPr>
          <w:rFonts w:ascii="宋体" w:hAnsi="宋体" w:cs="宋体"/>
          <w:sz w:val="24"/>
          <w:szCs w:val="24"/>
        </w:rPr>
      </w:pPr>
      <w:r>
        <w:rPr>
          <w:rFonts w:hint="eastAsia" w:ascii="宋体" w:hAnsi="宋体" w:cs="宋体"/>
          <w:sz w:val="24"/>
          <w:szCs w:val="24"/>
        </w:rPr>
        <w:t>《信息安全技术网络安全等级保护测评要求》（GB/T28448-2019）</w:t>
      </w:r>
    </w:p>
    <w:p>
      <w:pPr>
        <w:pStyle w:val="17"/>
        <w:numPr>
          <w:ilvl w:val="0"/>
          <w:numId w:val="3"/>
        </w:numPr>
        <w:spacing w:line="440" w:lineRule="exact"/>
        <w:jc w:val="left"/>
        <w:rPr>
          <w:rFonts w:ascii="宋体" w:hAnsi="宋体" w:cs="宋体"/>
          <w:sz w:val="24"/>
          <w:szCs w:val="24"/>
        </w:rPr>
      </w:pPr>
      <w:r>
        <w:rPr>
          <w:rFonts w:hint="eastAsia" w:ascii="宋体" w:hAnsi="宋体" w:cs="宋体"/>
          <w:sz w:val="24"/>
          <w:szCs w:val="24"/>
        </w:rPr>
        <w:t>《信息安全技术网络安全等级保护测评过程指南》（GB/T28449-2018）</w:t>
      </w:r>
    </w:p>
    <w:p>
      <w:pPr>
        <w:pStyle w:val="17"/>
        <w:numPr>
          <w:ilvl w:val="0"/>
          <w:numId w:val="3"/>
        </w:numPr>
        <w:spacing w:line="440" w:lineRule="exact"/>
        <w:jc w:val="left"/>
        <w:rPr>
          <w:rFonts w:ascii="宋体" w:hAnsi="宋体" w:cs="宋体"/>
          <w:sz w:val="24"/>
          <w:szCs w:val="24"/>
        </w:rPr>
      </w:pPr>
      <w:r>
        <w:rPr>
          <w:rFonts w:hint="eastAsia" w:ascii="宋体" w:hAnsi="宋体" w:cs="宋体"/>
          <w:sz w:val="24"/>
          <w:szCs w:val="24"/>
        </w:rPr>
        <w:t>《信息安全技术信息安全风险评估规范》（GB/T20984-2015）</w:t>
      </w:r>
    </w:p>
    <w:p>
      <w:pPr>
        <w:pStyle w:val="17"/>
        <w:numPr>
          <w:ilvl w:val="0"/>
          <w:numId w:val="3"/>
        </w:numPr>
        <w:spacing w:line="440" w:lineRule="exact"/>
        <w:jc w:val="left"/>
        <w:rPr>
          <w:rFonts w:ascii="宋体" w:hAnsi="宋体" w:cs="宋体"/>
          <w:sz w:val="24"/>
          <w:szCs w:val="24"/>
        </w:rPr>
      </w:pPr>
      <w:r>
        <w:rPr>
          <w:rFonts w:ascii="宋体" w:hAnsi="宋体" w:cs="宋体"/>
          <w:sz w:val="24"/>
          <w:szCs w:val="24"/>
        </w:rPr>
        <w:t>《中华人民共和国网络安全法》</w:t>
      </w:r>
    </w:p>
    <w:p>
      <w:pPr>
        <w:pStyle w:val="17"/>
        <w:numPr>
          <w:ilvl w:val="0"/>
          <w:numId w:val="3"/>
        </w:numPr>
        <w:spacing w:line="440" w:lineRule="exact"/>
        <w:jc w:val="left"/>
        <w:rPr>
          <w:rFonts w:ascii="宋体" w:hAnsi="宋体" w:cs="宋体"/>
          <w:sz w:val="24"/>
          <w:szCs w:val="24"/>
        </w:rPr>
      </w:pPr>
      <w:r>
        <w:rPr>
          <w:rFonts w:ascii="宋体" w:hAnsi="宋体" w:cs="宋体"/>
          <w:sz w:val="24"/>
          <w:szCs w:val="24"/>
        </w:rPr>
        <w:t>《信息安全技术 计算机信息系统安全保护等级划分准则》GB 17859-1999</w:t>
      </w:r>
    </w:p>
    <w:p>
      <w:pPr>
        <w:numPr>
          <w:ilvl w:val="0"/>
          <w:numId w:val="2"/>
        </w:numPr>
        <w:spacing w:line="360" w:lineRule="auto"/>
        <w:rPr>
          <w:rFonts w:ascii="宋体" w:hAnsi="宋体" w:eastAsia="宋体"/>
          <w:b/>
          <w:color w:val="000000"/>
          <w:sz w:val="24"/>
        </w:rPr>
      </w:pPr>
      <w:r>
        <w:rPr>
          <w:rFonts w:hint="eastAsia" w:ascii="宋体" w:hAnsi="宋体" w:eastAsia="宋体"/>
          <w:b/>
          <w:color w:val="000000"/>
          <w:sz w:val="24"/>
        </w:rPr>
        <w:t>服务费用及支付方式</w:t>
      </w:r>
    </w:p>
    <w:p>
      <w:pPr>
        <w:spacing w:line="360" w:lineRule="auto"/>
        <w:ind w:firstLine="420" w:firstLineChars="175"/>
        <w:rPr>
          <w:rFonts w:ascii="宋体" w:hAnsi="宋体" w:eastAsia="宋体"/>
          <w:color w:val="000000"/>
          <w:sz w:val="24"/>
        </w:rPr>
      </w:pPr>
      <w:r>
        <w:rPr>
          <w:rFonts w:ascii="宋体" w:hAnsi="宋体" w:eastAsia="宋体"/>
          <w:color w:val="000000"/>
          <w:sz w:val="24"/>
        </w:rPr>
        <w:t>1.合同总价为人民币大写</w:t>
      </w:r>
      <w:r>
        <w:rPr>
          <w:rFonts w:ascii="宋体" w:hAnsi="宋体" w:eastAsia="宋体"/>
          <w:color w:val="000000"/>
          <w:sz w:val="24"/>
          <w:u w:val="single"/>
        </w:rPr>
        <w:t>：</w:t>
      </w:r>
      <w:r>
        <w:rPr>
          <w:rFonts w:hint="eastAsia" w:ascii="宋体" w:hAnsi="宋体" w:eastAsia="宋体"/>
          <w:color w:val="000000"/>
          <w:sz w:val="24"/>
          <w:u w:val="single"/>
          <w:lang w:val="en-US" w:eastAsia="zh-CN"/>
        </w:rPr>
        <w:t xml:space="preserve">     </w:t>
      </w:r>
      <w:r>
        <w:rPr>
          <w:rFonts w:ascii="宋体" w:hAnsi="宋体" w:eastAsia="宋体"/>
          <w:color w:val="000000"/>
          <w:sz w:val="24"/>
        </w:rPr>
        <w:t>元</w:t>
      </w:r>
      <w:r>
        <w:rPr>
          <w:rFonts w:hint="eastAsia" w:ascii="宋体" w:hAnsi="宋体" w:eastAsia="宋体"/>
          <w:color w:val="000000"/>
          <w:sz w:val="24"/>
        </w:rPr>
        <w:t>整</w:t>
      </w:r>
      <w:r>
        <w:rPr>
          <w:rFonts w:ascii="宋体" w:hAnsi="宋体" w:eastAsia="宋体"/>
          <w:color w:val="000000"/>
          <w:sz w:val="24"/>
        </w:rPr>
        <w:t>，即RMB</w:t>
      </w:r>
      <w:r>
        <w:rPr>
          <w:rFonts w:ascii="宋体" w:hAnsi="宋体" w:eastAsia="宋体"/>
          <w:color w:val="000000"/>
          <w:sz w:val="24"/>
          <w:u w:val="single"/>
        </w:rPr>
        <w:t>￥</w:t>
      </w:r>
      <w:r>
        <w:rPr>
          <w:rFonts w:hint="eastAsia" w:ascii="宋体" w:hAnsi="宋体" w:eastAsia="宋体"/>
          <w:color w:val="000000"/>
          <w:sz w:val="24"/>
          <w:u w:val="single"/>
          <w:lang w:val="en-US" w:eastAsia="zh-CN"/>
        </w:rPr>
        <w:t xml:space="preserve"> </w:t>
      </w:r>
      <w:r>
        <w:rPr>
          <w:rFonts w:ascii="宋体" w:hAnsi="宋体" w:eastAsia="宋体"/>
          <w:color w:val="000000"/>
          <w:sz w:val="24"/>
          <w:u w:val="single"/>
        </w:rPr>
        <w:t>0.00</w:t>
      </w:r>
      <w:r>
        <w:rPr>
          <w:rFonts w:ascii="宋体" w:hAnsi="宋体" w:eastAsia="宋体"/>
          <w:color w:val="000000"/>
          <w:sz w:val="24"/>
        </w:rPr>
        <w:t>元；合同</w:t>
      </w:r>
      <w:r>
        <w:rPr>
          <w:rFonts w:hint="eastAsia" w:ascii="宋体" w:hAnsi="宋体" w:eastAsia="宋体"/>
          <w:color w:val="000000"/>
          <w:sz w:val="24"/>
        </w:rPr>
        <w:t>总价</w:t>
      </w:r>
      <w:r>
        <w:rPr>
          <w:rFonts w:ascii="宋体" w:hAnsi="宋体" w:eastAsia="宋体"/>
          <w:color w:val="000000"/>
          <w:sz w:val="24"/>
        </w:rPr>
        <w:t>是甲方为了完成本合同流程以及就达到合同目的所需支付的全部费用（含税），</w:t>
      </w:r>
      <w:r>
        <w:rPr>
          <w:rFonts w:hint="eastAsia" w:ascii="宋体" w:hAnsi="宋体" w:eastAsia="宋体"/>
          <w:color w:val="000000"/>
          <w:sz w:val="24"/>
        </w:rPr>
        <w:t>除此之外</w:t>
      </w:r>
      <w:r>
        <w:rPr>
          <w:rFonts w:ascii="宋体" w:hAnsi="宋体" w:eastAsia="宋体"/>
          <w:color w:val="000000"/>
          <w:sz w:val="24"/>
        </w:rPr>
        <w:t>甲方无需再向乙方及第三方支付其他任何费用</w:t>
      </w:r>
      <w:r>
        <w:rPr>
          <w:rFonts w:hint="eastAsia" w:ascii="宋体" w:hAnsi="宋体" w:eastAsia="宋体"/>
          <w:color w:val="000000"/>
          <w:sz w:val="24"/>
        </w:rPr>
        <w:t>。</w:t>
      </w:r>
    </w:p>
    <w:p>
      <w:pPr>
        <w:spacing w:line="360" w:lineRule="auto"/>
        <w:ind w:firstLine="420" w:firstLineChars="175"/>
        <w:rPr>
          <w:rFonts w:ascii="宋体" w:hAnsi="宋体" w:eastAsia="宋体"/>
          <w:color w:val="000000"/>
          <w:sz w:val="24"/>
        </w:rPr>
      </w:pPr>
      <w:r>
        <w:rPr>
          <w:rFonts w:ascii="宋体" w:hAnsi="宋体" w:eastAsia="宋体"/>
          <w:color w:val="000000"/>
          <w:sz w:val="24"/>
        </w:rPr>
        <w:t>2.付款方式：</w:t>
      </w:r>
      <w:r>
        <w:rPr>
          <w:rFonts w:hint="eastAsia" w:ascii="宋体" w:hAnsi="宋体" w:eastAsia="宋体" w:cs="仿宋"/>
          <w:sz w:val="24"/>
          <w:szCs w:val="24"/>
        </w:rPr>
        <w:t>乙方</w:t>
      </w:r>
      <w:r>
        <w:rPr>
          <w:rFonts w:ascii="宋体" w:hAnsi="宋体" w:eastAsia="宋体" w:cs="仿宋"/>
          <w:sz w:val="24"/>
          <w:szCs w:val="24"/>
        </w:rPr>
        <w:t>出具</w:t>
      </w:r>
      <w:r>
        <w:rPr>
          <w:rFonts w:hint="eastAsia" w:ascii="宋体" w:hAnsi="宋体" w:eastAsia="宋体"/>
          <w:color w:val="000000"/>
          <w:sz w:val="24"/>
          <w:szCs w:val="24"/>
        </w:rPr>
        <w:t>《网络安全等级保护测评报告》《信息安全风险评估报告》</w:t>
      </w:r>
      <w:r>
        <w:rPr>
          <w:rFonts w:ascii="宋体" w:hAnsi="宋体" w:eastAsia="宋体" w:cs="仿宋"/>
          <w:sz w:val="24"/>
          <w:szCs w:val="24"/>
        </w:rPr>
        <w:t>告后 15 日内支付合同金额</w:t>
      </w:r>
      <w:r>
        <w:rPr>
          <w:rFonts w:ascii="宋体" w:hAnsi="宋体" w:eastAsia="宋体"/>
          <w:color w:val="000000"/>
          <w:sz w:val="24"/>
        </w:rPr>
        <w:t>人民币大写</w:t>
      </w:r>
      <w:r>
        <w:rPr>
          <w:rFonts w:ascii="宋体" w:hAnsi="宋体" w:eastAsia="宋体"/>
          <w:color w:val="000000"/>
          <w:sz w:val="24"/>
          <w:u w:val="single"/>
        </w:rPr>
        <w:t>：</w:t>
      </w:r>
      <w:r>
        <w:rPr>
          <w:rFonts w:hint="eastAsia" w:ascii="宋体" w:hAnsi="宋体" w:eastAsia="宋体"/>
          <w:color w:val="000000"/>
          <w:sz w:val="24"/>
          <w:u w:val="single"/>
          <w:lang w:val="en-US" w:eastAsia="zh-CN"/>
        </w:rPr>
        <w:t xml:space="preserve">         </w:t>
      </w:r>
      <w:r>
        <w:rPr>
          <w:rFonts w:ascii="宋体" w:hAnsi="宋体" w:eastAsia="宋体"/>
          <w:color w:val="000000"/>
          <w:sz w:val="24"/>
        </w:rPr>
        <w:t>元</w:t>
      </w:r>
      <w:r>
        <w:rPr>
          <w:rFonts w:hint="eastAsia" w:ascii="宋体" w:hAnsi="宋体" w:eastAsia="宋体"/>
          <w:color w:val="000000"/>
          <w:sz w:val="24"/>
        </w:rPr>
        <w:t>整</w:t>
      </w:r>
      <w:r>
        <w:rPr>
          <w:rFonts w:ascii="宋体" w:hAnsi="宋体" w:eastAsia="宋体"/>
          <w:color w:val="000000"/>
          <w:sz w:val="24"/>
        </w:rPr>
        <w:t>，即RMB</w:t>
      </w:r>
      <w:r>
        <w:rPr>
          <w:rFonts w:ascii="宋体" w:hAnsi="宋体" w:eastAsia="宋体"/>
          <w:color w:val="000000"/>
          <w:sz w:val="24"/>
          <w:u w:val="single"/>
        </w:rPr>
        <w:t>￥</w:t>
      </w:r>
      <w:r>
        <w:rPr>
          <w:rFonts w:hint="eastAsia" w:ascii="宋体" w:hAnsi="宋体" w:eastAsia="宋体"/>
          <w:color w:val="000000"/>
          <w:sz w:val="24"/>
          <w:u w:val="single"/>
          <w:lang w:val="en-US" w:eastAsia="zh-CN"/>
        </w:rPr>
        <w:t xml:space="preserve"> </w:t>
      </w:r>
      <w:r>
        <w:rPr>
          <w:rFonts w:ascii="宋体" w:hAnsi="宋体" w:eastAsia="宋体"/>
          <w:color w:val="000000"/>
          <w:sz w:val="24"/>
          <w:u w:val="single"/>
        </w:rPr>
        <w:t>0.00</w:t>
      </w:r>
      <w:r>
        <w:rPr>
          <w:rFonts w:ascii="宋体" w:hAnsi="宋体" w:eastAsia="宋体"/>
          <w:color w:val="000000"/>
          <w:sz w:val="24"/>
        </w:rPr>
        <w:t>元</w:t>
      </w:r>
      <w:r>
        <w:rPr>
          <w:rFonts w:ascii="宋体" w:hAnsi="宋体" w:eastAsia="宋体" w:cs="仿宋"/>
          <w:sz w:val="24"/>
          <w:szCs w:val="24"/>
        </w:rPr>
        <w:t>。</w:t>
      </w:r>
      <w:r>
        <w:rPr>
          <w:rFonts w:hint="eastAsia" w:ascii="宋体" w:hAnsi="宋体" w:eastAsia="宋体" w:cs="仿宋"/>
          <w:sz w:val="24"/>
          <w:szCs w:val="24"/>
        </w:rPr>
        <w:t>付款前乙方</w:t>
      </w:r>
      <w:r>
        <w:rPr>
          <w:rFonts w:ascii="宋体" w:hAnsi="宋体" w:eastAsia="宋体" w:cs="仿宋"/>
          <w:sz w:val="24"/>
          <w:szCs w:val="24"/>
        </w:rPr>
        <w:t>须向采购人提</w:t>
      </w:r>
      <w:r>
        <w:rPr>
          <w:rFonts w:hint="eastAsia" w:ascii="宋体" w:hAnsi="宋体" w:eastAsia="宋体" w:cs="仿宋"/>
          <w:sz w:val="24"/>
          <w:szCs w:val="24"/>
        </w:rPr>
        <w:t>供等额有效且符合采购人财务管理要求的增值税发票作为付款结算依据，如乙方迟延提供发票，则付款顺延，且甲方不承担逾期付款违约责任。如因财政政策的调整导致的付款延后，甲方不承担逾期付款的违约责任。</w:t>
      </w:r>
    </w:p>
    <w:p>
      <w:pPr>
        <w:numPr>
          <w:ilvl w:val="0"/>
          <w:numId w:val="2"/>
        </w:numPr>
        <w:tabs>
          <w:tab w:val="left" w:pos="0"/>
          <w:tab w:val="clear" w:pos="1521"/>
        </w:tabs>
        <w:spacing w:line="480" w:lineRule="exact"/>
        <w:ind w:hanging="1101"/>
        <w:rPr>
          <w:rFonts w:ascii="宋体" w:hAnsi="宋体" w:eastAsia="宋体"/>
          <w:b/>
          <w:color w:val="000000"/>
          <w:sz w:val="24"/>
        </w:rPr>
      </w:pPr>
      <w:r>
        <w:rPr>
          <w:rFonts w:hint="eastAsia" w:ascii="宋体" w:hAnsi="宋体" w:eastAsia="宋体"/>
          <w:b/>
          <w:color w:val="000000"/>
          <w:sz w:val="24"/>
        </w:rPr>
        <w:t>知识产权</w:t>
      </w:r>
    </w:p>
    <w:p>
      <w:pPr>
        <w:pStyle w:val="20"/>
        <w:numPr>
          <w:ilvl w:val="0"/>
          <w:numId w:val="4"/>
        </w:numPr>
        <w:tabs>
          <w:tab w:val="left" w:pos="0"/>
        </w:tabs>
        <w:spacing w:line="480" w:lineRule="exact"/>
        <w:ind w:left="0" w:firstLine="420" w:firstLineChars="0"/>
        <w:rPr>
          <w:rFonts w:ascii="宋体" w:hAnsi="宋体" w:eastAsia="宋体"/>
          <w:color w:val="000000"/>
          <w:sz w:val="24"/>
        </w:rPr>
      </w:pPr>
      <w:r>
        <w:rPr>
          <w:rFonts w:hint="eastAsia" w:ascii="宋体" w:hAnsi="宋体" w:eastAsia="宋体"/>
          <w:color w:val="000000"/>
          <w:sz w:val="24"/>
        </w:rPr>
        <w:t>乙方应保证所提供的服务或其任何一部分均不会侵犯任何第三方的专利权、商标权或著作权等知识产权。由此</w:t>
      </w:r>
      <w:r>
        <w:rPr>
          <w:rFonts w:ascii="宋体" w:hAnsi="宋体" w:eastAsia="宋体"/>
          <w:color w:val="000000"/>
          <w:sz w:val="24"/>
        </w:rPr>
        <w:t>引发的知识产权纠纷由乙方负责处理并承担全部法律责任。</w:t>
      </w:r>
    </w:p>
    <w:p>
      <w:pPr>
        <w:pStyle w:val="20"/>
        <w:numPr>
          <w:ilvl w:val="-1"/>
          <w:numId w:val="0"/>
        </w:numPr>
        <w:tabs>
          <w:tab w:val="left" w:pos="0"/>
        </w:tabs>
        <w:spacing w:line="480" w:lineRule="exact"/>
        <w:ind w:left="0" w:firstLine="480" w:firstLineChars="200"/>
        <w:rPr>
          <w:rFonts w:ascii="宋体" w:hAnsi="宋体" w:eastAsia="宋体"/>
          <w:color w:val="000000"/>
          <w:sz w:val="24"/>
        </w:rPr>
      </w:pPr>
      <w:r>
        <w:rPr>
          <w:rFonts w:hint="eastAsia" w:ascii="宋体" w:hAnsi="宋体" w:eastAsia="宋体"/>
          <w:color w:val="000000"/>
          <w:sz w:val="24"/>
        </w:rPr>
        <w:t>2. 甲乙共同享有服务中产生的知识产权成果。</w:t>
      </w:r>
    </w:p>
    <w:p>
      <w:pPr>
        <w:numPr>
          <w:ilvl w:val="0"/>
          <w:numId w:val="2"/>
        </w:numPr>
        <w:spacing w:line="360" w:lineRule="auto"/>
        <w:rPr>
          <w:rFonts w:ascii="宋体" w:hAnsi="宋体" w:eastAsia="宋体"/>
          <w:b/>
          <w:color w:val="000000"/>
          <w:sz w:val="24"/>
        </w:rPr>
      </w:pPr>
      <w:r>
        <w:rPr>
          <w:rFonts w:hint="eastAsia" w:ascii="宋体" w:hAnsi="宋体" w:eastAsia="宋体"/>
          <w:b/>
          <w:color w:val="000000"/>
          <w:sz w:val="24"/>
        </w:rPr>
        <w:t>无产权瑕疵条款</w:t>
      </w:r>
    </w:p>
    <w:p>
      <w:pPr>
        <w:tabs>
          <w:tab w:val="left" w:pos="1440"/>
        </w:tabs>
        <w:spacing w:line="360" w:lineRule="auto"/>
        <w:ind w:firstLine="480" w:firstLineChars="200"/>
        <w:rPr>
          <w:rFonts w:ascii="宋体" w:hAnsi="宋体" w:eastAsia="宋体"/>
          <w:color w:val="000000"/>
          <w:sz w:val="24"/>
        </w:rPr>
      </w:pPr>
      <w:r>
        <w:rPr>
          <w:rFonts w:hint="eastAsia" w:ascii="宋体" w:hAnsi="宋体" w:eastAsia="宋体"/>
          <w:color w:val="000000"/>
          <w:sz w:val="24"/>
        </w:rPr>
        <w:t>乙方保证所提供的服务的所有权完全属于乙方且无任何抵押、查封等产权瑕疵。如有产权瑕疵的，视为乙方违约。乙方应负担由此而产生的损失。</w:t>
      </w:r>
    </w:p>
    <w:p>
      <w:pPr>
        <w:spacing w:line="360" w:lineRule="auto"/>
        <w:ind w:left="426"/>
        <w:rPr>
          <w:rFonts w:ascii="宋体" w:hAnsi="宋体" w:eastAsia="宋体"/>
          <w:b/>
          <w:color w:val="000000"/>
          <w:sz w:val="24"/>
        </w:rPr>
      </w:pPr>
      <w:r>
        <w:rPr>
          <w:rFonts w:hint="eastAsia" w:ascii="宋体" w:hAnsi="宋体" w:eastAsia="宋体"/>
          <w:b/>
          <w:color w:val="000000"/>
          <w:sz w:val="24"/>
        </w:rPr>
        <w:t xml:space="preserve">第八条    </w:t>
      </w:r>
      <w:r>
        <w:rPr>
          <w:rFonts w:ascii="宋体" w:hAnsi="宋体" w:eastAsia="宋体"/>
          <w:b/>
          <w:color w:val="000000"/>
          <w:sz w:val="24"/>
        </w:rPr>
        <w:t>甲方的权利和义务</w:t>
      </w:r>
    </w:p>
    <w:p>
      <w:pPr>
        <w:adjustRightInd w:val="0"/>
        <w:spacing w:line="360" w:lineRule="auto"/>
        <w:ind w:firstLine="480" w:firstLineChars="200"/>
        <w:jc w:val="left"/>
        <w:textAlignment w:val="baseline"/>
        <w:rPr>
          <w:rFonts w:ascii="宋体" w:hAnsi="宋体" w:eastAsia="宋体"/>
          <w:bCs/>
          <w:color w:val="000000"/>
          <w:sz w:val="24"/>
        </w:rPr>
      </w:pPr>
      <w:r>
        <w:rPr>
          <w:rFonts w:hint="eastAsia" w:ascii="宋体" w:hAnsi="宋体" w:eastAsia="宋体"/>
          <w:bCs/>
          <w:color w:val="000000"/>
          <w:sz w:val="24"/>
        </w:rPr>
        <w:t>1．</w:t>
      </w:r>
      <w:r>
        <w:rPr>
          <w:rFonts w:ascii="宋体" w:hAnsi="宋体" w:eastAsia="宋体"/>
          <w:bCs/>
          <w:color w:val="000000"/>
          <w:sz w:val="24"/>
        </w:rPr>
        <w:t>甲方有权对合同规定范围内</w:t>
      </w:r>
      <w:r>
        <w:rPr>
          <w:rFonts w:hint="eastAsia" w:ascii="宋体" w:hAnsi="宋体" w:eastAsia="宋体"/>
          <w:bCs/>
          <w:color w:val="000000"/>
          <w:sz w:val="24"/>
        </w:rPr>
        <w:t>乙方的服务行为</w:t>
      </w:r>
      <w:r>
        <w:rPr>
          <w:rFonts w:ascii="宋体" w:hAnsi="宋体" w:eastAsia="宋体"/>
          <w:bCs/>
          <w:color w:val="000000"/>
          <w:sz w:val="24"/>
        </w:rPr>
        <w:t>进行监督和检查，拥有监管权。有权定期核对乙方提供服务所配备的人员数量。对甲方认为不合理的部分有权</w:t>
      </w:r>
      <w:r>
        <w:rPr>
          <w:rFonts w:hint="eastAsia" w:ascii="宋体" w:hAnsi="宋体" w:eastAsia="宋体"/>
          <w:bCs/>
          <w:color w:val="000000"/>
          <w:sz w:val="24"/>
        </w:rPr>
        <w:t>下达整改通知书，并</w:t>
      </w:r>
      <w:r>
        <w:rPr>
          <w:rFonts w:ascii="宋体" w:hAnsi="宋体" w:eastAsia="宋体"/>
          <w:bCs/>
          <w:color w:val="000000"/>
          <w:sz w:val="24"/>
        </w:rPr>
        <w:t>要求乙方</w:t>
      </w:r>
      <w:r>
        <w:rPr>
          <w:rFonts w:hint="eastAsia" w:ascii="宋体" w:hAnsi="宋体" w:eastAsia="宋体"/>
          <w:bCs/>
          <w:color w:val="000000"/>
          <w:sz w:val="24"/>
        </w:rPr>
        <w:t>限期整改，乙方应当按要求予以整改</w:t>
      </w:r>
      <w:r>
        <w:rPr>
          <w:rFonts w:ascii="宋体" w:hAnsi="宋体" w:eastAsia="宋体"/>
          <w:bCs/>
          <w:color w:val="000000"/>
          <w:sz w:val="24"/>
        </w:rPr>
        <w:t>。</w:t>
      </w:r>
    </w:p>
    <w:p>
      <w:pPr>
        <w:adjustRightInd w:val="0"/>
        <w:spacing w:line="360" w:lineRule="auto"/>
        <w:ind w:firstLine="480" w:firstLineChars="200"/>
        <w:jc w:val="left"/>
        <w:textAlignment w:val="baseline"/>
        <w:rPr>
          <w:rFonts w:ascii="宋体" w:hAnsi="宋体" w:eastAsia="宋体"/>
          <w:bCs/>
          <w:color w:val="000000"/>
          <w:sz w:val="24"/>
        </w:rPr>
      </w:pPr>
      <w:r>
        <w:rPr>
          <w:rFonts w:ascii="宋体" w:hAnsi="宋体" w:eastAsia="宋体"/>
          <w:bCs/>
          <w:color w:val="000000"/>
          <w:sz w:val="24"/>
        </w:rPr>
        <w:t>2</w:t>
      </w:r>
      <w:r>
        <w:rPr>
          <w:rFonts w:hint="eastAsia" w:ascii="宋体" w:hAnsi="宋体" w:eastAsia="宋体"/>
          <w:bCs/>
          <w:color w:val="000000"/>
          <w:sz w:val="24"/>
        </w:rPr>
        <w:t>．</w:t>
      </w:r>
      <w:r>
        <w:rPr>
          <w:rFonts w:ascii="宋体" w:hAnsi="宋体" w:eastAsia="宋体"/>
          <w:bCs/>
          <w:color w:val="000000"/>
          <w:sz w:val="24"/>
        </w:rPr>
        <w:t>负责检查监督乙方管理工作的实施及制度的执行情况。</w:t>
      </w:r>
    </w:p>
    <w:p>
      <w:pPr>
        <w:adjustRightInd w:val="0"/>
        <w:spacing w:line="360" w:lineRule="auto"/>
        <w:ind w:firstLine="480" w:firstLineChars="200"/>
        <w:jc w:val="left"/>
        <w:textAlignment w:val="baseline"/>
        <w:rPr>
          <w:rFonts w:ascii="宋体" w:hAnsi="宋体" w:eastAsia="宋体"/>
          <w:bCs/>
          <w:color w:val="000000"/>
          <w:sz w:val="24"/>
        </w:rPr>
      </w:pPr>
      <w:r>
        <w:rPr>
          <w:rFonts w:ascii="宋体" w:hAnsi="宋体" w:eastAsia="宋体"/>
          <w:bCs/>
          <w:color w:val="000000"/>
          <w:sz w:val="24"/>
        </w:rPr>
        <w:t>3</w:t>
      </w:r>
      <w:r>
        <w:rPr>
          <w:rFonts w:hint="eastAsia" w:ascii="宋体" w:hAnsi="宋体" w:eastAsia="宋体"/>
          <w:bCs/>
          <w:color w:val="000000"/>
          <w:sz w:val="24"/>
        </w:rPr>
        <w:t>．</w:t>
      </w:r>
      <w:r>
        <w:rPr>
          <w:rFonts w:ascii="宋体" w:hAnsi="宋体" w:eastAsia="宋体"/>
          <w:bCs/>
          <w:color w:val="000000"/>
          <w:sz w:val="24"/>
        </w:rPr>
        <w:t>根据本合同规定，按时向乙方支付应付</w:t>
      </w:r>
      <w:r>
        <w:rPr>
          <w:rFonts w:hint="eastAsia" w:ascii="宋体" w:hAnsi="宋体" w:eastAsia="宋体"/>
          <w:bCs/>
          <w:color w:val="000000"/>
          <w:sz w:val="24"/>
        </w:rPr>
        <w:t>服务费用</w:t>
      </w:r>
      <w:r>
        <w:rPr>
          <w:rFonts w:ascii="宋体" w:hAnsi="宋体" w:eastAsia="宋体"/>
          <w:bCs/>
          <w:color w:val="000000"/>
          <w:sz w:val="24"/>
        </w:rPr>
        <w:t>。</w:t>
      </w:r>
    </w:p>
    <w:p>
      <w:pPr>
        <w:adjustRightInd w:val="0"/>
        <w:spacing w:line="360" w:lineRule="auto"/>
        <w:ind w:firstLine="480" w:firstLineChars="200"/>
        <w:jc w:val="left"/>
        <w:textAlignment w:val="baseline"/>
        <w:rPr>
          <w:rFonts w:ascii="宋体" w:hAnsi="宋体" w:eastAsia="宋体"/>
          <w:bCs/>
          <w:color w:val="000000"/>
          <w:sz w:val="24"/>
        </w:rPr>
      </w:pPr>
      <w:r>
        <w:rPr>
          <w:rFonts w:ascii="宋体" w:hAnsi="宋体" w:eastAsia="宋体"/>
          <w:bCs/>
          <w:color w:val="000000"/>
          <w:sz w:val="24"/>
        </w:rPr>
        <w:t>4</w:t>
      </w:r>
      <w:r>
        <w:rPr>
          <w:rFonts w:hint="eastAsia" w:ascii="宋体" w:hAnsi="宋体" w:eastAsia="宋体"/>
          <w:bCs/>
          <w:color w:val="000000"/>
          <w:sz w:val="24"/>
        </w:rPr>
        <w:t>．</w:t>
      </w:r>
      <w:r>
        <w:rPr>
          <w:rFonts w:ascii="宋体" w:hAnsi="宋体" w:eastAsia="宋体"/>
          <w:bCs/>
          <w:color w:val="000000"/>
          <w:sz w:val="24"/>
        </w:rPr>
        <w:t>国家法律、法规所规定由甲方承担的其它责任。</w:t>
      </w:r>
    </w:p>
    <w:p>
      <w:pPr>
        <w:spacing w:after="100" w:afterAutospacing="1" w:line="360" w:lineRule="auto"/>
        <w:ind w:firstLine="480" w:firstLineChars="200"/>
        <w:rPr>
          <w:rFonts w:ascii="宋体" w:hAnsi="宋体" w:eastAsia="宋体"/>
          <w:color w:val="000000"/>
          <w:sz w:val="24"/>
          <w:szCs w:val="24"/>
        </w:rPr>
      </w:pPr>
      <w:r>
        <w:rPr>
          <w:rFonts w:ascii="宋体" w:hAnsi="宋体" w:eastAsia="宋体"/>
          <w:color w:val="000000"/>
          <w:sz w:val="24"/>
          <w:szCs w:val="24"/>
        </w:rPr>
        <w:t>5</w:t>
      </w:r>
      <w:r>
        <w:rPr>
          <w:rFonts w:hint="eastAsia" w:ascii="宋体" w:hAnsi="宋体" w:eastAsia="宋体"/>
          <w:color w:val="000000"/>
          <w:sz w:val="24"/>
          <w:szCs w:val="24"/>
        </w:rPr>
        <w:t>．为保证测评有关活动的正常开展，甲方须为乙方提供必要的配合与支持，包括但不限于：</w:t>
      </w:r>
    </w:p>
    <w:p>
      <w:pPr>
        <w:spacing w:after="100" w:afterAutospacing="1"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现场办公环境、场地，调查和统计评估所包含的信息资产统计表，其中必须包括物理环境、终端、网络设备、主机、应用软件、业务系统、数据、人员、标准流程，明确现有状况、配置情况和管理情况，如主机系统，需要明确其平台、版本、补丁等基本情况外，还需明确开放端口、服务和进程等配置管理信息。</w:t>
      </w:r>
    </w:p>
    <w:p>
      <w:pPr>
        <w:spacing w:after="100" w:afterAutospacing="1"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现有安全系统调查工作包括明确现有安全设备(包括防火墙、防病毒系统、入侵检测系统、安全扫描系统、账号口令集中管理系统等)的部署情况和使用情况。</w:t>
      </w:r>
    </w:p>
    <w:p>
      <w:pPr>
        <w:spacing w:after="100" w:afterAutospacing="1" w:line="360" w:lineRule="auto"/>
        <w:ind w:firstLine="480" w:firstLineChars="200"/>
        <w:rPr>
          <w:rFonts w:ascii="宋体" w:hAnsi="宋体" w:eastAsia="宋体"/>
          <w:color w:val="000000"/>
          <w:sz w:val="24"/>
          <w:szCs w:val="24"/>
        </w:rPr>
      </w:pPr>
      <w:r>
        <w:rPr>
          <w:rFonts w:ascii="宋体" w:hAnsi="宋体" w:eastAsia="宋体"/>
          <w:color w:val="000000"/>
          <w:sz w:val="24"/>
          <w:szCs w:val="24"/>
        </w:rPr>
        <w:t>6</w:t>
      </w:r>
      <w:r>
        <w:rPr>
          <w:rFonts w:hint="eastAsia" w:ascii="宋体" w:hAnsi="宋体" w:eastAsia="宋体"/>
          <w:color w:val="000000"/>
          <w:sz w:val="24"/>
          <w:szCs w:val="24"/>
        </w:rPr>
        <w:t>．甲方应在合同签订后，测评工作开始前 3 个工作日，向乙方提供进行测评活动范围内所涉及的文档资料、图纸、技术资料和相关设备的登录方式等。</w:t>
      </w:r>
    </w:p>
    <w:p>
      <w:pPr>
        <w:spacing w:after="100" w:afterAutospacing="1" w:line="360" w:lineRule="auto"/>
        <w:ind w:firstLine="480" w:firstLineChars="200"/>
        <w:rPr>
          <w:rFonts w:ascii="宋体" w:hAnsi="宋体" w:eastAsia="宋体"/>
          <w:color w:val="000000"/>
          <w:sz w:val="24"/>
          <w:szCs w:val="24"/>
        </w:rPr>
      </w:pPr>
      <w:r>
        <w:rPr>
          <w:rFonts w:ascii="宋体" w:hAnsi="宋体" w:eastAsia="宋体"/>
          <w:color w:val="000000"/>
          <w:sz w:val="24"/>
          <w:szCs w:val="24"/>
        </w:rPr>
        <w:t>7</w:t>
      </w:r>
      <w:r>
        <w:rPr>
          <w:rFonts w:hint="eastAsia" w:ascii="宋体" w:hAnsi="宋体" w:eastAsia="宋体"/>
          <w:color w:val="000000"/>
          <w:sz w:val="24"/>
          <w:szCs w:val="24"/>
        </w:rPr>
        <w:t>．本合同期内，若甲方安排第三方对本合同约定范围内硬件设备实施改造、修理、调试、更换及系统变更的，应在实施前书面通知乙方，并在实施结束时通知乙方对设备进行检查测评。</w:t>
      </w:r>
    </w:p>
    <w:p>
      <w:pPr>
        <w:spacing w:after="100" w:afterAutospacing="1" w:line="360" w:lineRule="auto"/>
        <w:ind w:firstLine="480" w:firstLineChars="200"/>
        <w:rPr>
          <w:rFonts w:ascii="宋体" w:hAnsi="宋体" w:eastAsia="宋体"/>
          <w:color w:val="000000"/>
          <w:sz w:val="24"/>
          <w:szCs w:val="24"/>
        </w:rPr>
      </w:pPr>
      <w:r>
        <w:rPr>
          <w:rFonts w:ascii="宋体" w:hAnsi="宋体" w:eastAsia="宋体"/>
          <w:color w:val="000000"/>
          <w:sz w:val="24"/>
          <w:szCs w:val="24"/>
        </w:rPr>
        <w:t>8</w:t>
      </w:r>
      <w:r>
        <w:rPr>
          <w:rFonts w:hint="eastAsia" w:ascii="宋体" w:hAnsi="宋体" w:eastAsia="宋体"/>
          <w:color w:val="000000"/>
          <w:sz w:val="24"/>
          <w:szCs w:val="24"/>
        </w:rPr>
        <w:t>．甲方要求提供超越本合同所列的服务内容时，则另行签订有偿服务合同。</w:t>
      </w:r>
    </w:p>
    <w:p>
      <w:pPr>
        <w:spacing w:after="100" w:afterAutospacing="1" w:line="360" w:lineRule="auto"/>
        <w:ind w:firstLine="480" w:firstLineChars="200"/>
        <w:rPr>
          <w:rFonts w:ascii="宋体" w:hAnsi="宋体" w:eastAsia="宋体"/>
          <w:color w:val="000000"/>
          <w:sz w:val="24"/>
          <w:szCs w:val="24"/>
        </w:rPr>
      </w:pPr>
      <w:r>
        <w:rPr>
          <w:rFonts w:ascii="宋体" w:hAnsi="宋体" w:eastAsia="宋体"/>
          <w:color w:val="000000"/>
          <w:sz w:val="24"/>
          <w:szCs w:val="24"/>
        </w:rPr>
        <w:t>9.</w:t>
      </w:r>
      <w:r>
        <w:rPr>
          <w:rFonts w:hint="eastAsia" w:ascii="宋体" w:hAnsi="宋体" w:eastAsia="宋体"/>
          <w:color w:val="000000"/>
          <w:sz w:val="24"/>
          <w:szCs w:val="24"/>
        </w:rPr>
        <w:t xml:space="preserve"> 如等保测评结果为“中”及以上甲方应采取持续改进措施，保障其信息系统安全。如测评结果为“差”甲方应出具整改情况说明并报备案受理机关，同时按照《等级保护基本要求》等有关国家、行业标准规范实施整改。</w:t>
      </w:r>
    </w:p>
    <w:p>
      <w:pPr>
        <w:spacing w:after="100" w:afterAutospacing="1" w:line="360" w:lineRule="auto"/>
        <w:ind w:firstLine="480" w:firstLineChars="200"/>
        <w:rPr>
          <w:rFonts w:ascii="宋体" w:hAnsi="宋体" w:eastAsia="宋体"/>
          <w:color w:val="000000"/>
          <w:sz w:val="24"/>
          <w:szCs w:val="24"/>
        </w:rPr>
      </w:pPr>
      <w:r>
        <w:rPr>
          <w:rFonts w:ascii="宋体" w:hAnsi="宋体" w:eastAsia="宋体"/>
          <w:color w:val="000000"/>
          <w:sz w:val="24"/>
          <w:szCs w:val="24"/>
        </w:rPr>
        <w:t>10</w:t>
      </w:r>
      <w:r>
        <w:rPr>
          <w:rFonts w:hint="eastAsia" w:ascii="宋体" w:hAnsi="宋体" w:eastAsia="宋体"/>
          <w:color w:val="000000"/>
          <w:sz w:val="24"/>
          <w:szCs w:val="24"/>
        </w:rPr>
        <w:t>.按照《四川省网络安全等级保护测评机构管理办法》要求，甲方应在乙方完成测评后对测评服务情况进行评价，填写《网络安全等级保护测评服务情况评价表》交备案受理机关和四川省网络安全等级保护工作领导小组办公室。</w:t>
      </w:r>
    </w:p>
    <w:p>
      <w:pPr>
        <w:spacing w:after="100" w:afterAutospacing="1" w:line="360" w:lineRule="auto"/>
        <w:ind w:firstLine="480" w:firstLineChars="200"/>
        <w:rPr>
          <w:rFonts w:ascii="宋体" w:hAnsi="宋体" w:eastAsia="宋体"/>
          <w:color w:val="000000"/>
          <w:sz w:val="24"/>
          <w:szCs w:val="24"/>
        </w:rPr>
      </w:pPr>
      <w:r>
        <w:rPr>
          <w:rFonts w:ascii="宋体" w:hAnsi="宋体" w:eastAsia="宋体"/>
          <w:color w:val="000000"/>
          <w:sz w:val="24"/>
          <w:szCs w:val="24"/>
        </w:rPr>
        <w:t>11.</w:t>
      </w:r>
      <w:r>
        <w:rPr>
          <w:rFonts w:hint="eastAsia" w:ascii="宋体" w:hAnsi="宋体" w:eastAsia="宋体"/>
          <w:color w:val="000000"/>
          <w:sz w:val="24"/>
          <w:szCs w:val="24"/>
        </w:rPr>
        <w:t>如因甲方原因导致服务期限的顺延、测评报告的失实或乙方不能如期完工的，因此造成的损失和责任由甲方自行负责，乙方不承担责任。</w:t>
      </w:r>
    </w:p>
    <w:p>
      <w:pPr>
        <w:spacing w:line="360" w:lineRule="auto"/>
        <w:ind w:left="426"/>
        <w:rPr>
          <w:rFonts w:ascii="宋体" w:hAnsi="宋体" w:eastAsia="宋体"/>
          <w:b/>
          <w:color w:val="000000"/>
          <w:sz w:val="24"/>
        </w:rPr>
      </w:pPr>
      <w:r>
        <w:rPr>
          <w:rFonts w:hint="eastAsia" w:ascii="宋体" w:hAnsi="宋体" w:eastAsia="宋体"/>
          <w:b/>
          <w:color w:val="000000"/>
          <w:sz w:val="24"/>
        </w:rPr>
        <w:t xml:space="preserve">第九条   </w:t>
      </w:r>
      <w:r>
        <w:rPr>
          <w:rFonts w:ascii="宋体" w:hAnsi="宋体" w:eastAsia="宋体"/>
          <w:b/>
          <w:color w:val="000000"/>
          <w:sz w:val="24"/>
        </w:rPr>
        <w:t>乙方的权利和义务</w:t>
      </w:r>
    </w:p>
    <w:p>
      <w:pPr>
        <w:adjustRightInd w:val="0"/>
        <w:spacing w:line="360" w:lineRule="auto"/>
        <w:ind w:firstLine="480" w:firstLineChars="200"/>
        <w:jc w:val="left"/>
        <w:textAlignment w:val="baseline"/>
        <w:rPr>
          <w:rFonts w:ascii="宋体" w:hAnsi="宋体" w:eastAsia="宋体"/>
          <w:bCs/>
          <w:color w:val="000000"/>
          <w:sz w:val="24"/>
        </w:rPr>
      </w:pPr>
      <w:r>
        <w:rPr>
          <w:rFonts w:hint="eastAsia" w:ascii="宋体" w:hAnsi="宋体" w:eastAsia="宋体"/>
          <w:bCs/>
          <w:color w:val="000000"/>
          <w:sz w:val="24"/>
        </w:rPr>
        <w:t>1．</w:t>
      </w:r>
      <w:r>
        <w:rPr>
          <w:rFonts w:ascii="宋体" w:hAnsi="宋体" w:eastAsia="宋体"/>
          <w:bCs/>
          <w:color w:val="000000"/>
          <w:sz w:val="24"/>
        </w:rPr>
        <w:t>对本合同规定的委托</w:t>
      </w:r>
      <w:r>
        <w:rPr>
          <w:rFonts w:hint="eastAsia" w:ascii="宋体" w:hAnsi="宋体" w:eastAsia="宋体"/>
          <w:bCs/>
          <w:color w:val="000000"/>
          <w:sz w:val="24"/>
        </w:rPr>
        <w:t>服务</w:t>
      </w:r>
      <w:r>
        <w:rPr>
          <w:rFonts w:ascii="宋体" w:hAnsi="宋体" w:eastAsia="宋体"/>
          <w:bCs/>
          <w:color w:val="000000"/>
          <w:sz w:val="24"/>
        </w:rPr>
        <w:t>范围内的</w:t>
      </w:r>
      <w:r>
        <w:rPr>
          <w:rFonts w:hint="eastAsia" w:ascii="宋体" w:hAnsi="宋体" w:eastAsia="宋体"/>
          <w:bCs/>
          <w:color w:val="000000"/>
          <w:sz w:val="24"/>
        </w:rPr>
        <w:t>未移交甲方项目</w:t>
      </w:r>
      <w:r>
        <w:rPr>
          <w:rFonts w:ascii="宋体" w:hAnsi="宋体" w:eastAsia="宋体"/>
          <w:bCs/>
          <w:color w:val="000000"/>
          <w:sz w:val="24"/>
        </w:rPr>
        <w:t>享有管理权及服务义务。</w:t>
      </w:r>
    </w:p>
    <w:p>
      <w:pPr>
        <w:adjustRightInd w:val="0"/>
        <w:spacing w:line="360" w:lineRule="auto"/>
        <w:ind w:firstLine="480" w:firstLineChars="200"/>
        <w:jc w:val="left"/>
        <w:textAlignment w:val="baseline"/>
        <w:rPr>
          <w:rFonts w:ascii="宋体" w:hAnsi="宋体" w:eastAsia="宋体"/>
          <w:bCs/>
          <w:color w:val="000000"/>
          <w:sz w:val="24"/>
        </w:rPr>
      </w:pPr>
      <w:r>
        <w:rPr>
          <w:rFonts w:hint="eastAsia" w:ascii="宋体" w:hAnsi="宋体" w:eastAsia="宋体"/>
          <w:bCs/>
          <w:color w:val="000000"/>
          <w:sz w:val="24"/>
        </w:rPr>
        <w:t>2．</w:t>
      </w:r>
      <w:r>
        <w:rPr>
          <w:rFonts w:ascii="宋体" w:hAnsi="宋体" w:eastAsia="宋体"/>
          <w:bCs/>
          <w:color w:val="000000"/>
          <w:sz w:val="24"/>
        </w:rPr>
        <w:t>根据本合同的规定向甲方收取相关</w:t>
      </w:r>
      <w:r>
        <w:rPr>
          <w:rFonts w:hint="eastAsia" w:ascii="宋体" w:hAnsi="宋体" w:eastAsia="宋体"/>
          <w:bCs/>
          <w:color w:val="000000"/>
          <w:sz w:val="24"/>
        </w:rPr>
        <w:t>服务</w:t>
      </w:r>
      <w:r>
        <w:rPr>
          <w:rFonts w:ascii="宋体" w:hAnsi="宋体" w:eastAsia="宋体"/>
          <w:bCs/>
          <w:color w:val="000000"/>
          <w:sz w:val="24"/>
        </w:rPr>
        <w:t>费用，并有权</w:t>
      </w:r>
      <w:r>
        <w:rPr>
          <w:rFonts w:hint="eastAsia" w:ascii="宋体" w:hAnsi="宋体" w:eastAsia="宋体"/>
          <w:bCs/>
          <w:color w:val="000000"/>
          <w:sz w:val="24"/>
        </w:rPr>
        <w:t>按本合同约定在本项目管理范围内</w:t>
      </w:r>
      <w:r>
        <w:rPr>
          <w:rFonts w:ascii="宋体" w:hAnsi="宋体" w:eastAsia="宋体"/>
          <w:bCs/>
          <w:color w:val="000000"/>
          <w:sz w:val="24"/>
        </w:rPr>
        <w:t>管理及合理使用。</w:t>
      </w:r>
    </w:p>
    <w:p>
      <w:pPr>
        <w:adjustRightInd w:val="0"/>
        <w:spacing w:line="360" w:lineRule="auto"/>
        <w:ind w:firstLine="480" w:firstLineChars="200"/>
        <w:jc w:val="left"/>
        <w:textAlignment w:val="baseline"/>
        <w:rPr>
          <w:rFonts w:ascii="宋体" w:hAnsi="宋体" w:eastAsia="宋体"/>
          <w:color w:val="000000"/>
          <w:sz w:val="24"/>
        </w:rPr>
      </w:pPr>
      <w:r>
        <w:rPr>
          <w:rFonts w:hint="eastAsia" w:ascii="宋体" w:hAnsi="宋体" w:eastAsia="宋体"/>
          <w:color w:val="000000"/>
          <w:sz w:val="24"/>
        </w:rPr>
        <w:t>3．及时向甲方通告本项目服务范围内有关服务的重大事项，及时配合处理投诉。</w:t>
      </w:r>
    </w:p>
    <w:p>
      <w:pPr>
        <w:adjustRightInd w:val="0"/>
        <w:spacing w:line="360" w:lineRule="auto"/>
        <w:ind w:firstLine="480" w:firstLineChars="200"/>
        <w:jc w:val="left"/>
        <w:textAlignment w:val="baseline"/>
        <w:rPr>
          <w:rFonts w:ascii="宋体" w:hAnsi="宋体" w:eastAsia="宋体"/>
          <w:bCs/>
          <w:color w:val="000000"/>
          <w:sz w:val="24"/>
        </w:rPr>
      </w:pPr>
      <w:r>
        <w:rPr>
          <w:rFonts w:hint="eastAsia" w:ascii="宋体" w:hAnsi="宋体" w:eastAsia="宋体"/>
          <w:color w:val="000000"/>
          <w:sz w:val="24"/>
        </w:rPr>
        <w:t>4．</w:t>
      </w:r>
      <w:r>
        <w:rPr>
          <w:rFonts w:ascii="宋体" w:hAnsi="宋体" w:eastAsia="宋体"/>
          <w:bCs/>
          <w:color w:val="000000"/>
          <w:sz w:val="24"/>
        </w:rPr>
        <w:t>接受</w:t>
      </w:r>
      <w:r>
        <w:rPr>
          <w:rFonts w:hint="eastAsia" w:ascii="宋体" w:hAnsi="宋体" w:eastAsia="宋体"/>
          <w:bCs/>
          <w:color w:val="000000"/>
          <w:sz w:val="24"/>
        </w:rPr>
        <w:t>项目行</w:t>
      </w:r>
      <w:r>
        <w:rPr>
          <w:rFonts w:ascii="宋体" w:hAnsi="宋体" w:eastAsia="宋体"/>
          <w:bCs/>
          <w:color w:val="000000"/>
          <w:sz w:val="24"/>
        </w:rPr>
        <w:t>业管理部门及政府有关部门的指导，接受甲方的监督。</w:t>
      </w:r>
    </w:p>
    <w:p>
      <w:pPr>
        <w:adjustRightInd w:val="0"/>
        <w:spacing w:line="360" w:lineRule="auto"/>
        <w:ind w:firstLine="480" w:firstLineChars="200"/>
        <w:jc w:val="left"/>
        <w:textAlignment w:val="baseline"/>
        <w:rPr>
          <w:rFonts w:ascii="宋体" w:hAnsi="宋体" w:eastAsia="宋体"/>
          <w:bCs/>
          <w:color w:val="000000"/>
          <w:sz w:val="24"/>
        </w:rPr>
      </w:pPr>
      <w:r>
        <w:rPr>
          <w:rFonts w:hint="eastAsia" w:ascii="宋体" w:hAnsi="宋体" w:eastAsia="宋体"/>
          <w:bCs/>
          <w:color w:val="000000"/>
          <w:sz w:val="24"/>
        </w:rPr>
        <w:t>5．</w:t>
      </w:r>
      <w:r>
        <w:rPr>
          <w:rFonts w:ascii="宋体" w:hAnsi="宋体" w:eastAsia="宋体"/>
          <w:bCs/>
          <w:color w:val="000000"/>
          <w:sz w:val="24"/>
        </w:rPr>
        <w:t>国家法律、法规所规定由乙方承担的其它责任。</w:t>
      </w:r>
    </w:p>
    <w:p>
      <w:pPr>
        <w:spacing w:after="100" w:afterAutospacing="1" w:line="360" w:lineRule="auto"/>
        <w:ind w:firstLine="480" w:firstLineChars="200"/>
        <w:rPr>
          <w:rFonts w:ascii="宋体" w:hAnsi="宋体" w:eastAsia="宋体"/>
          <w:color w:val="000000"/>
          <w:sz w:val="24"/>
          <w:szCs w:val="24"/>
        </w:rPr>
      </w:pPr>
      <w:bookmarkStart w:id="18" w:name="_Hlk42243120"/>
      <w:r>
        <w:rPr>
          <w:rFonts w:ascii="宋体" w:hAnsi="宋体" w:eastAsia="宋体"/>
          <w:color w:val="000000"/>
          <w:sz w:val="24"/>
          <w:szCs w:val="24"/>
        </w:rPr>
        <w:t>6</w:t>
      </w:r>
      <w:r>
        <w:rPr>
          <w:rFonts w:hint="eastAsia" w:ascii="宋体" w:hAnsi="宋体" w:eastAsia="宋体"/>
          <w:color w:val="000000"/>
          <w:sz w:val="24"/>
          <w:szCs w:val="24"/>
        </w:rPr>
        <w:t>.乙方应按时完成测评服务，出具测评报告，并对测评报告客观性、真实性、合法性负责。保证测评的质量符合国家及行业等相关规定。</w:t>
      </w:r>
    </w:p>
    <w:p>
      <w:pPr>
        <w:spacing w:after="100" w:afterAutospacing="1" w:line="360" w:lineRule="auto"/>
        <w:ind w:firstLine="480" w:firstLineChars="200"/>
        <w:rPr>
          <w:rFonts w:ascii="宋体" w:hAnsi="宋体" w:eastAsia="宋体"/>
          <w:color w:val="000000"/>
          <w:sz w:val="24"/>
          <w:szCs w:val="24"/>
        </w:rPr>
      </w:pPr>
      <w:r>
        <w:rPr>
          <w:rFonts w:ascii="宋体" w:hAnsi="宋体" w:eastAsia="宋体"/>
          <w:color w:val="000000"/>
          <w:sz w:val="24"/>
          <w:szCs w:val="24"/>
        </w:rPr>
        <w:t>7</w:t>
      </w:r>
      <w:r>
        <w:rPr>
          <w:rFonts w:hint="eastAsia" w:ascii="宋体" w:hAnsi="宋体" w:eastAsia="宋体"/>
          <w:color w:val="000000"/>
          <w:sz w:val="24"/>
          <w:szCs w:val="24"/>
        </w:rPr>
        <w:t>．乙方人员应对甲方信息系统按照测评标准进行测评，对甲方信息系统结果进行分析并出具《网络安全等级保护测评报告》《商用密码应用方案评估报告》《信息安全风险评估报告》，以书面形式提交给甲方。其中测评报告一式叁份，一份测评机构存档、二份提交甲方（或被测评单位）。乙方向甲方提交测评报告的方式包括但不限于现场送达、快递、电子邮件等。</w:t>
      </w:r>
    </w:p>
    <w:p>
      <w:pPr>
        <w:spacing w:after="100" w:afterAutospacing="1" w:line="360" w:lineRule="auto"/>
        <w:ind w:firstLine="480" w:firstLineChars="200"/>
        <w:rPr>
          <w:rFonts w:ascii="宋体" w:hAnsi="宋体" w:eastAsia="宋体"/>
          <w:color w:val="000000"/>
          <w:sz w:val="24"/>
          <w:szCs w:val="24"/>
        </w:rPr>
      </w:pPr>
      <w:r>
        <w:rPr>
          <w:rFonts w:ascii="宋体" w:hAnsi="宋体" w:eastAsia="宋体"/>
          <w:color w:val="000000"/>
          <w:sz w:val="24"/>
          <w:szCs w:val="24"/>
        </w:rPr>
        <w:t>8</w:t>
      </w:r>
      <w:r>
        <w:rPr>
          <w:rFonts w:hint="eastAsia" w:ascii="宋体" w:hAnsi="宋体" w:eastAsia="宋体"/>
          <w:color w:val="000000"/>
          <w:sz w:val="24"/>
          <w:szCs w:val="24"/>
        </w:rPr>
        <w:t>．乙方在服务期间应严格遵守双方的有关规章制度，在作业中应严格遵守甲方机房管理制度，做好各种安全及防静电措施，不得擅自挪用甲方的物品。</w:t>
      </w:r>
    </w:p>
    <w:p>
      <w:pPr>
        <w:spacing w:after="100" w:afterAutospacing="1" w:line="360" w:lineRule="auto"/>
        <w:ind w:firstLine="480" w:firstLineChars="200"/>
        <w:rPr>
          <w:rFonts w:ascii="宋体" w:hAnsi="宋体" w:eastAsia="宋体"/>
          <w:color w:val="000000"/>
          <w:sz w:val="24"/>
          <w:szCs w:val="24"/>
        </w:rPr>
      </w:pPr>
      <w:r>
        <w:rPr>
          <w:rFonts w:ascii="宋体" w:hAnsi="宋体" w:eastAsia="宋体"/>
          <w:color w:val="000000"/>
          <w:sz w:val="24"/>
          <w:szCs w:val="24"/>
        </w:rPr>
        <w:t>9</w:t>
      </w:r>
      <w:r>
        <w:rPr>
          <w:rFonts w:hint="eastAsia" w:ascii="宋体" w:hAnsi="宋体" w:eastAsia="宋体"/>
          <w:color w:val="000000"/>
          <w:sz w:val="24"/>
          <w:szCs w:val="24"/>
        </w:rPr>
        <w:t>．乙方人员因测评工作需要而接触到的甲方机密信息或暂时未公开的信息负有保密义务，关于此项规定双方需另行签订保密协议</w:t>
      </w:r>
      <w:r>
        <w:rPr>
          <w:rFonts w:hint="eastAsia" w:ascii="宋体" w:hAnsi="宋体" w:eastAsia="宋体"/>
          <w:color w:val="000000"/>
          <w:sz w:val="24"/>
          <w:szCs w:val="24"/>
          <w:lang w:eastAsia="zh-CN"/>
        </w:rPr>
        <w:t>予以</w:t>
      </w:r>
      <w:r>
        <w:rPr>
          <w:rFonts w:hint="eastAsia" w:ascii="宋体" w:hAnsi="宋体" w:eastAsia="宋体"/>
          <w:color w:val="000000"/>
          <w:sz w:val="24"/>
          <w:szCs w:val="24"/>
        </w:rPr>
        <w:t>约束。（见附件一）</w:t>
      </w:r>
    </w:p>
    <w:p>
      <w:pPr>
        <w:spacing w:after="100" w:afterAutospacing="1" w:line="360" w:lineRule="auto"/>
        <w:ind w:firstLine="480" w:firstLineChars="200"/>
        <w:rPr>
          <w:rFonts w:ascii="宋体" w:hAnsi="宋体" w:eastAsia="宋体"/>
          <w:color w:val="000000"/>
          <w:sz w:val="24"/>
          <w:szCs w:val="24"/>
        </w:rPr>
      </w:pPr>
      <w:r>
        <w:rPr>
          <w:rFonts w:ascii="宋体" w:hAnsi="宋体" w:eastAsia="宋体"/>
          <w:color w:val="000000"/>
          <w:sz w:val="24"/>
          <w:szCs w:val="24"/>
        </w:rPr>
        <w:t>10.</w:t>
      </w:r>
      <w:r>
        <w:rPr>
          <w:rFonts w:hint="eastAsia" w:ascii="宋体" w:hAnsi="宋体" w:eastAsia="宋体"/>
          <w:color w:val="000000"/>
          <w:sz w:val="24"/>
          <w:szCs w:val="24"/>
        </w:rPr>
        <w:t>乙方对所出具的《测评报告》（含记录文件等）具有最终解释权，测评结论的有效性建立在被测评单位提供相关证据的真实性基础之上，测评结论仅对被测信息系统当时的安全状态有效。当测评工作完成后，由于信息系统发生变更而涉及到的系统构成组件（或子系统）都应重新进行等级测评，原报告不再适用。报告中给出的测评结论不能作为对信息系统内部署的相关系统构成组件（或产品）的测评结论。在任何情况下，若需引用《测评报告》中的测评结果或结论都应保持其原有的意义，不得对相关内容擅自进行增加、修改和伪造或掩盖事实。</w:t>
      </w:r>
    </w:p>
    <w:p>
      <w:pPr>
        <w:spacing w:after="100" w:afterAutospacing="1"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测评报告》是根据特定标准出具的系统安全测评结论，等保测评结论为“中”及以上仅表明该系统基本达到了标准所规定的要求，并不保证该系统是绝对安全的。甲方（或被测评单位）应采取持续有效的改进措施以保障信息系统的安全。</w:t>
      </w:r>
    </w:p>
    <w:p>
      <w:pPr>
        <w:spacing w:after="100" w:afterAutospacing="1" w:line="360" w:lineRule="auto"/>
        <w:ind w:firstLine="480" w:firstLineChars="200"/>
        <w:rPr>
          <w:rFonts w:asciiTheme="minorHAnsi" w:hAnsiTheme="minorHAnsi" w:eastAsiaTheme="minorEastAsia"/>
          <w:color w:val="000000"/>
          <w:sz w:val="21"/>
          <w:szCs w:val="22"/>
        </w:rPr>
      </w:pPr>
      <w:r>
        <w:rPr>
          <w:rFonts w:ascii="宋体" w:hAnsi="宋体" w:eastAsia="宋体"/>
          <w:color w:val="000000"/>
          <w:sz w:val="24"/>
          <w:szCs w:val="24"/>
        </w:rPr>
        <w:t>11.</w:t>
      </w:r>
      <w:r>
        <w:rPr>
          <w:rFonts w:hint="eastAsia" w:ascii="宋体" w:hAnsi="宋体" w:eastAsia="宋体"/>
          <w:color w:val="000000"/>
          <w:sz w:val="24"/>
          <w:szCs w:val="24"/>
        </w:rPr>
        <w:t>乙方就测评系统出具《网络安全等级保护测评报告》《商用密码应用方案评估报告》《信息安全风险评估报告》即全面完全履行了本合同约定的合同义务。</w:t>
      </w:r>
      <w:bookmarkEnd w:id="18"/>
    </w:p>
    <w:p>
      <w:pPr>
        <w:spacing w:line="360" w:lineRule="auto"/>
        <w:ind w:left="426"/>
        <w:rPr>
          <w:rFonts w:ascii="宋体" w:hAnsi="宋体" w:eastAsia="宋体"/>
          <w:b/>
          <w:color w:val="000000"/>
          <w:sz w:val="24"/>
        </w:rPr>
      </w:pPr>
      <w:r>
        <w:rPr>
          <w:rFonts w:hint="eastAsia" w:ascii="宋体" w:hAnsi="宋体" w:eastAsia="宋体"/>
          <w:b/>
          <w:color w:val="000000"/>
          <w:sz w:val="24"/>
        </w:rPr>
        <w:t xml:space="preserve">第十条   </w:t>
      </w:r>
      <w:r>
        <w:rPr>
          <w:rFonts w:ascii="宋体" w:hAnsi="宋体" w:eastAsia="宋体"/>
          <w:b/>
          <w:color w:val="000000"/>
          <w:sz w:val="24"/>
        </w:rPr>
        <w:t>违约责任</w:t>
      </w:r>
    </w:p>
    <w:p>
      <w:pPr>
        <w:adjustRightInd w:val="0"/>
        <w:spacing w:line="360" w:lineRule="auto"/>
        <w:ind w:firstLine="480" w:firstLineChars="200"/>
        <w:jc w:val="left"/>
        <w:textAlignment w:val="baseline"/>
        <w:rPr>
          <w:rFonts w:ascii="宋体" w:hAnsi="宋体" w:eastAsia="宋体"/>
          <w:bCs/>
          <w:color w:val="000000"/>
          <w:sz w:val="24"/>
        </w:rPr>
      </w:pPr>
      <w:r>
        <w:rPr>
          <w:rFonts w:hint="eastAsia" w:ascii="宋体" w:hAnsi="宋体" w:eastAsia="宋体"/>
          <w:bCs/>
          <w:color w:val="000000"/>
          <w:sz w:val="24"/>
        </w:rPr>
        <w:t>1．</w:t>
      </w:r>
      <w:r>
        <w:rPr>
          <w:rFonts w:ascii="宋体" w:hAnsi="宋体" w:eastAsia="宋体"/>
          <w:bCs/>
          <w:color w:val="000000"/>
          <w:sz w:val="24"/>
        </w:rPr>
        <w:t>甲乙双方必须遵守本合同并执行合同中的各项规定，保证</w:t>
      </w:r>
      <w:r>
        <w:rPr>
          <w:rFonts w:hint="eastAsia" w:ascii="宋体" w:hAnsi="宋体" w:eastAsia="宋体"/>
          <w:bCs/>
          <w:color w:val="000000"/>
          <w:sz w:val="24"/>
        </w:rPr>
        <w:t>本</w:t>
      </w:r>
      <w:r>
        <w:rPr>
          <w:rFonts w:ascii="宋体" w:hAnsi="宋体" w:eastAsia="宋体"/>
          <w:bCs/>
          <w:color w:val="000000"/>
          <w:sz w:val="24"/>
        </w:rPr>
        <w:t>合同的正常</w:t>
      </w:r>
      <w:r>
        <w:rPr>
          <w:rFonts w:hint="eastAsia" w:ascii="宋体" w:hAnsi="宋体" w:eastAsia="宋体"/>
          <w:bCs/>
          <w:color w:val="000000"/>
          <w:sz w:val="24"/>
        </w:rPr>
        <w:t>履行</w:t>
      </w:r>
      <w:r>
        <w:rPr>
          <w:rFonts w:ascii="宋体" w:hAnsi="宋体" w:eastAsia="宋体"/>
          <w:bCs/>
          <w:color w:val="000000"/>
          <w:sz w:val="24"/>
        </w:rPr>
        <w:t>。</w:t>
      </w:r>
    </w:p>
    <w:p>
      <w:pPr>
        <w:adjustRightInd w:val="0"/>
        <w:spacing w:line="360" w:lineRule="auto"/>
        <w:ind w:firstLine="480" w:firstLineChars="200"/>
        <w:jc w:val="left"/>
        <w:textAlignment w:val="baseline"/>
        <w:rPr>
          <w:rFonts w:ascii="宋体" w:hAnsi="宋体" w:eastAsia="宋体"/>
          <w:bCs/>
          <w:color w:val="000000"/>
          <w:sz w:val="24"/>
        </w:rPr>
      </w:pPr>
      <w:r>
        <w:rPr>
          <w:rFonts w:hint="eastAsia" w:ascii="宋体" w:hAnsi="宋体" w:eastAsia="宋体"/>
          <w:bCs/>
          <w:color w:val="000000"/>
          <w:sz w:val="24"/>
        </w:rPr>
        <w:t>2．</w:t>
      </w:r>
      <w:r>
        <w:rPr>
          <w:rFonts w:ascii="宋体" w:hAnsi="宋体" w:eastAsia="宋体"/>
          <w:bCs/>
          <w:color w:val="000000"/>
          <w:sz w:val="24"/>
        </w:rPr>
        <w:t>如因乙方</w:t>
      </w:r>
      <w:r>
        <w:rPr>
          <w:rFonts w:hint="eastAsia" w:ascii="宋体" w:hAnsi="宋体" w:eastAsia="宋体"/>
          <w:bCs/>
          <w:color w:val="000000"/>
          <w:sz w:val="24"/>
        </w:rPr>
        <w:t>工作人员在履行职务过程中</w:t>
      </w:r>
      <w:r>
        <w:rPr>
          <w:rFonts w:ascii="宋体" w:hAnsi="宋体" w:eastAsia="宋体"/>
          <w:bCs/>
          <w:color w:val="000000"/>
          <w:sz w:val="24"/>
        </w:rPr>
        <w:t>给甲方</w:t>
      </w:r>
      <w:r>
        <w:rPr>
          <w:rFonts w:hint="eastAsia" w:ascii="宋体" w:hAnsi="宋体" w:eastAsia="宋体"/>
          <w:bCs/>
          <w:color w:val="000000"/>
          <w:sz w:val="24"/>
        </w:rPr>
        <w:t>或者第三方</w:t>
      </w:r>
      <w:r>
        <w:rPr>
          <w:rFonts w:ascii="宋体" w:hAnsi="宋体" w:eastAsia="宋体"/>
          <w:bCs/>
          <w:color w:val="000000"/>
          <w:sz w:val="24"/>
        </w:rPr>
        <w:t>造成损失</w:t>
      </w:r>
      <w:r>
        <w:rPr>
          <w:rFonts w:hint="eastAsia" w:ascii="宋体" w:hAnsi="宋体" w:eastAsia="宋体"/>
          <w:bCs/>
          <w:color w:val="000000"/>
          <w:sz w:val="24"/>
        </w:rPr>
        <w:t>的应当承担全部赔偿责任</w:t>
      </w:r>
      <w:r>
        <w:rPr>
          <w:rFonts w:ascii="宋体" w:hAnsi="宋体" w:eastAsia="宋体"/>
          <w:bCs/>
          <w:color w:val="000000"/>
          <w:sz w:val="24"/>
        </w:rPr>
        <w:t>。</w:t>
      </w:r>
    </w:p>
    <w:p>
      <w:pPr>
        <w:spacing w:after="100" w:afterAutospacing="1" w:line="360" w:lineRule="auto"/>
        <w:ind w:left="1" w:firstLine="480" w:firstLineChars="200"/>
        <w:rPr>
          <w:rFonts w:ascii="宋体" w:hAnsi="宋体" w:eastAsia="宋体"/>
          <w:color w:val="000000"/>
          <w:sz w:val="24"/>
          <w:szCs w:val="24"/>
        </w:rPr>
      </w:pPr>
      <w:bookmarkStart w:id="19" w:name="_Hlk35609231"/>
      <w:r>
        <w:rPr>
          <w:rFonts w:hint="eastAsia" w:ascii="宋体" w:hAnsi="宋体" w:eastAsia="宋体"/>
          <w:color w:val="000000"/>
          <w:sz w:val="24"/>
          <w:szCs w:val="24"/>
          <w:lang w:val="en-US" w:eastAsia="zh-CN"/>
        </w:rPr>
        <w:t>3</w:t>
      </w:r>
      <w:r>
        <w:rPr>
          <w:rFonts w:ascii="宋体" w:hAnsi="宋体" w:eastAsia="宋体"/>
          <w:color w:val="000000"/>
          <w:sz w:val="24"/>
          <w:szCs w:val="24"/>
        </w:rPr>
        <w:t>.</w:t>
      </w:r>
      <w:r>
        <w:rPr>
          <w:rFonts w:hint="eastAsia" w:ascii="宋体" w:hAnsi="宋体" w:eastAsia="宋体"/>
          <w:color w:val="000000"/>
          <w:sz w:val="24"/>
          <w:szCs w:val="24"/>
        </w:rPr>
        <w:t>甲方拒不签收、不作回复或在规定期限内不进行任何回复均视为乙方已将符合要求的测评报告送达至甲方并完成本合同约定义务，甲方应按合同约定向乙方支付全部费用。</w:t>
      </w:r>
    </w:p>
    <w:p>
      <w:pPr>
        <w:spacing w:after="100" w:afterAutospacing="1" w:line="360" w:lineRule="auto"/>
        <w:ind w:left="1" w:firstLine="480" w:firstLineChars="200"/>
        <w:rPr>
          <w:rFonts w:ascii="宋体" w:hAnsi="宋体" w:eastAsia="宋体"/>
          <w:color w:val="000000"/>
          <w:sz w:val="24"/>
          <w:szCs w:val="24"/>
        </w:rPr>
      </w:pPr>
      <w:r>
        <w:rPr>
          <w:rFonts w:hint="eastAsia" w:ascii="宋体" w:hAnsi="宋体" w:eastAsia="宋体"/>
          <w:color w:val="000000"/>
          <w:sz w:val="24"/>
          <w:szCs w:val="24"/>
          <w:lang w:val="en-US" w:eastAsia="zh-CN"/>
        </w:rPr>
        <w:t>4</w:t>
      </w:r>
      <w:r>
        <w:rPr>
          <w:rFonts w:hint="eastAsia" w:ascii="宋体" w:hAnsi="宋体" w:eastAsia="宋体"/>
          <w:color w:val="000000"/>
          <w:sz w:val="24"/>
          <w:szCs w:val="24"/>
        </w:rPr>
        <w:t>.甲乙双方任何一方违约，通过司法途径维权产生的律师费、诉讼费、保全费、财产保全保函保险费、调查取证费等费用均由违约方承担。</w:t>
      </w:r>
      <w:bookmarkEnd w:id="19"/>
    </w:p>
    <w:p>
      <w:pPr>
        <w:spacing w:line="360" w:lineRule="auto"/>
        <w:ind w:left="426"/>
        <w:rPr>
          <w:rFonts w:ascii="宋体" w:hAnsi="宋体" w:eastAsia="宋体"/>
          <w:b/>
          <w:color w:val="000000"/>
          <w:sz w:val="24"/>
        </w:rPr>
      </w:pPr>
      <w:r>
        <w:rPr>
          <w:rFonts w:hint="eastAsia" w:ascii="宋体" w:hAnsi="宋体" w:eastAsia="宋体"/>
          <w:b/>
          <w:color w:val="000000"/>
          <w:sz w:val="24"/>
        </w:rPr>
        <w:t>第十</w:t>
      </w:r>
      <w:r>
        <w:rPr>
          <w:rFonts w:hint="eastAsia" w:ascii="宋体" w:hAnsi="宋体" w:eastAsia="宋体"/>
          <w:b/>
          <w:color w:val="000000"/>
          <w:sz w:val="24"/>
          <w:lang w:eastAsia="zh-CN"/>
        </w:rPr>
        <w:t>一</w:t>
      </w:r>
      <w:r>
        <w:rPr>
          <w:rFonts w:hint="eastAsia" w:ascii="宋体" w:hAnsi="宋体" w:eastAsia="宋体"/>
          <w:b/>
          <w:color w:val="000000"/>
          <w:sz w:val="24"/>
        </w:rPr>
        <w:t>条  不可抗力事件处理</w:t>
      </w:r>
    </w:p>
    <w:p>
      <w:pPr>
        <w:tabs>
          <w:tab w:val="left" w:pos="0"/>
        </w:tabs>
        <w:spacing w:line="360" w:lineRule="auto"/>
        <w:ind w:firstLine="480" w:firstLineChars="200"/>
        <w:rPr>
          <w:rFonts w:ascii="宋体" w:hAnsi="宋体" w:eastAsia="宋体"/>
          <w:color w:val="000000"/>
          <w:sz w:val="24"/>
        </w:rPr>
      </w:pPr>
      <w:r>
        <w:rPr>
          <w:rFonts w:hint="eastAsia" w:ascii="宋体" w:hAnsi="宋体" w:eastAsia="宋体"/>
          <w:color w:val="000000"/>
          <w:sz w:val="24"/>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ascii="宋体" w:hAnsi="宋体" w:eastAsia="宋体"/>
          <w:color w:val="000000"/>
          <w:sz w:val="24"/>
        </w:rPr>
      </w:pPr>
      <w:r>
        <w:rPr>
          <w:rFonts w:hint="eastAsia" w:ascii="宋体" w:hAnsi="宋体" w:eastAsia="宋体"/>
          <w:color w:val="000000"/>
          <w:sz w:val="24"/>
        </w:rPr>
        <w:t>2．不可抗力事件发生后，应立即通知对方，并寄送有关权威机构出具的证明。</w:t>
      </w:r>
    </w:p>
    <w:p>
      <w:pPr>
        <w:tabs>
          <w:tab w:val="left" w:pos="0"/>
        </w:tabs>
        <w:spacing w:line="360" w:lineRule="auto"/>
        <w:ind w:firstLine="480" w:firstLineChars="200"/>
        <w:rPr>
          <w:rFonts w:ascii="宋体" w:hAnsi="宋体" w:eastAsia="宋体"/>
          <w:color w:val="000000"/>
          <w:sz w:val="24"/>
        </w:rPr>
      </w:pPr>
      <w:r>
        <w:rPr>
          <w:rFonts w:hint="eastAsia" w:ascii="宋体" w:hAnsi="宋体" w:eastAsia="宋体"/>
          <w:color w:val="000000"/>
          <w:sz w:val="24"/>
        </w:rPr>
        <w:t>3．不可抗力事件延续</w:t>
      </w:r>
      <w:r>
        <w:rPr>
          <w:rFonts w:ascii="宋体" w:hAnsi="宋体" w:eastAsia="宋体"/>
          <w:color w:val="000000"/>
          <w:sz w:val="24"/>
        </w:rPr>
        <w:t>60</w:t>
      </w:r>
      <w:r>
        <w:rPr>
          <w:rFonts w:hint="eastAsia" w:ascii="宋体" w:hAnsi="宋体" w:eastAsia="宋体"/>
          <w:color w:val="000000"/>
          <w:sz w:val="24"/>
        </w:rPr>
        <w:t>天以上，双方应通过友好协商，确定是否继续履行合同。</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Pr>
        <w:spacing w:line="360" w:lineRule="auto"/>
        <w:ind w:left="426"/>
        <w:rPr>
          <w:rFonts w:ascii="宋体" w:hAnsi="宋体" w:eastAsia="宋体"/>
          <w:b/>
          <w:color w:val="000000"/>
          <w:sz w:val="24"/>
        </w:rPr>
      </w:pPr>
      <w:bookmarkStart w:id="20" w:name="_Toc251768867"/>
      <w:bookmarkStart w:id="21" w:name="_Toc225670756"/>
      <w:bookmarkStart w:id="22" w:name="_Toc238984980"/>
      <w:bookmarkStart w:id="23" w:name="_Toc247334846"/>
      <w:bookmarkStart w:id="24" w:name="_Toc241833908"/>
      <w:bookmarkStart w:id="25" w:name="_Toc211854454"/>
      <w:bookmarkStart w:id="26" w:name="_Toc211911353"/>
      <w:bookmarkStart w:id="27" w:name="_Toc225244857"/>
      <w:bookmarkStart w:id="28" w:name="_Toc239568423"/>
      <w:bookmarkStart w:id="29" w:name="_Toc225654649"/>
      <w:bookmarkStart w:id="30" w:name="_Toc239233919"/>
      <w:bookmarkStart w:id="31" w:name="_Toc286993792"/>
      <w:bookmarkStart w:id="32" w:name="_Toc212019599"/>
      <w:bookmarkStart w:id="33" w:name="_Toc185395254"/>
      <w:bookmarkStart w:id="34" w:name="_Toc232492933"/>
      <w:bookmarkStart w:id="35" w:name="_Toc237145411"/>
      <w:r>
        <w:rPr>
          <w:rFonts w:hint="eastAsia" w:ascii="宋体" w:hAnsi="宋体" w:eastAsia="宋体"/>
          <w:b/>
          <w:color w:val="000000"/>
          <w:sz w:val="24"/>
        </w:rPr>
        <w:t>第十</w:t>
      </w:r>
      <w:r>
        <w:rPr>
          <w:rFonts w:hint="eastAsia" w:ascii="宋体" w:hAnsi="宋体" w:eastAsia="宋体"/>
          <w:b/>
          <w:color w:val="000000"/>
          <w:sz w:val="24"/>
          <w:lang w:eastAsia="zh-CN"/>
        </w:rPr>
        <w:t>二</w:t>
      </w:r>
      <w:r>
        <w:rPr>
          <w:rFonts w:hint="eastAsia" w:ascii="宋体" w:hAnsi="宋体" w:eastAsia="宋体"/>
          <w:b/>
          <w:color w:val="000000"/>
          <w:sz w:val="24"/>
        </w:rPr>
        <w:t>条   解</w:t>
      </w:r>
      <w:r>
        <w:rPr>
          <w:rFonts w:ascii="宋体" w:hAnsi="宋体" w:eastAsia="宋体"/>
          <w:b/>
          <w:color w:val="000000"/>
          <w:sz w:val="24"/>
        </w:rPr>
        <w:t>决合同纠纷的方式</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tabs>
          <w:tab w:val="left" w:pos="0"/>
        </w:tabs>
        <w:spacing w:line="360" w:lineRule="auto"/>
        <w:ind w:firstLine="480" w:firstLineChars="200"/>
        <w:rPr>
          <w:rFonts w:ascii="宋体" w:hAnsi="宋体" w:eastAsia="宋体"/>
          <w:color w:val="000000"/>
          <w:sz w:val="24"/>
        </w:rPr>
      </w:pPr>
      <w:r>
        <w:rPr>
          <w:rFonts w:ascii="宋体" w:hAnsi="宋体" w:eastAsia="宋体"/>
          <w:color w:val="000000"/>
          <w:sz w:val="24"/>
        </w:rPr>
        <w:t>在执行本合同中发生的或与本合同有关的争端，双方应通过友好协商解决，</w:t>
      </w:r>
      <w:r>
        <w:rPr>
          <w:rFonts w:hint="eastAsia" w:ascii="宋体" w:hAnsi="宋体" w:eastAsia="宋体"/>
          <w:color w:val="000000"/>
          <w:sz w:val="24"/>
        </w:rPr>
        <w:t>协商不成可</w:t>
      </w:r>
      <w:r>
        <w:rPr>
          <w:rFonts w:ascii="宋体" w:hAnsi="宋体" w:eastAsia="宋体"/>
          <w:color w:val="000000"/>
          <w:sz w:val="24"/>
        </w:rPr>
        <w:t>提交</w:t>
      </w:r>
      <w:r>
        <w:rPr>
          <w:rFonts w:hint="eastAsia" w:ascii="宋体" w:hAnsi="宋体" w:eastAsia="宋体"/>
          <w:color w:val="000000"/>
          <w:sz w:val="24"/>
        </w:rPr>
        <w:t>甲方所在的人民法院诉讼解决。</w:t>
      </w:r>
    </w:p>
    <w:p>
      <w:pPr>
        <w:spacing w:line="360" w:lineRule="auto"/>
        <w:ind w:left="426"/>
        <w:rPr>
          <w:rFonts w:ascii="宋体" w:hAnsi="宋体" w:eastAsia="宋体"/>
          <w:b/>
          <w:color w:val="000000"/>
          <w:sz w:val="24"/>
        </w:rPr>
      </w:pPr>
      <w:bookmarkStart w:id="36" w:name="_Toc211911354"/>
      <w:bookmarkStart w:id="37" w:name="_Toc247334847"/>
      <w:bookmarkStart w:id="38" w:name="_Toc212019600"/>
      <w:bookmarkStart w:id="39" w:name="_Toc239568424"/>
      <w:bookmarkStart w:id="40" w:name="_Toc232492934"/>
      <w:bookmarkStart w:id="41" w:name="_Toc251768868"/>
      <w:bookmarkStart w:id="42" w:name="_Toc211854455"/>
      <w:bookmarkStart w:id="43" w:name="_Toc237145412"/>
      <w:bookmarkStart w:id="44" w:name="_Toc225670757"/>
      <w:bookmarkStart w:id="45" w:name="_Toc283019219"/>
      <w:bookmarkStart w:id="46" w:name="_Toc225244858"/>
      <w:bookmarkStart w:id="47" w:name="_Toc225654650"/>
      <w:bookmarkStart w:id="48" w:name="_Toc241833909"/>
      <w:bookmarkStart w:id="49" w:name="_Toc282696231"/>
      <w:bookmarkStart w:id="50" w:name="_Toc286993793"/>
      <w:bookmarkStart w:id="51" w:name="_Toc185395255"/>
      <w:bookmarkStart w:id="52" w:name="_Toc238984981"/>
      <w:bookmarkStart w:id="53" w:name="_Toc239233920"/>
      <w:r>
        <w:rPr>
          <w:rFonts w:hint="eastAsia" w:ascii="宋体" w:hAnsi="宋体" w:eastAsia="宋体"/>
          <w:b/>
          <w:color w:val="000000"/>
          <w:sz w:val="24"/>
        </w:rPr>
        <w:t>第十</w:t>
      </w:r>
      <w:r>
        <w:rPr>
          <w:rFonts w:hint="eastAsia" w:ascii="宋体" w:hAnsi="宋体" w:eastAsia="宋体"/>
          <w:b/>
          <w:color w:val="000000"/>
          <w:sz w:val="24"/>
          <w:lang w:eastAsia="zh-CN"/>
        </w:rPr>
        <w:t>三</w:t>
      </w:r>
      <w:r>
        <w:rPr>
          <w:rFonts w:hint="eastAsia" w:ascii="宋体" w:hAnsi="宋体" w:eastAsia="宋体"/>
          <w:b/>
          <w:color w:val="000000"/>
          <w:sz w:val="24"/>
        </w:rPr>
        <w:t xml:space="preserve">条  </w:t>
      </w:r>
      <w:r>
        <w:rPr>
          <w:rFonts w:ascii="宋体" w:hAnsi="宋体" w:eastAsia="宋体"/>
          <w:b/>
          <w:color w:val="000000"/>
          <w:sz w:val="24"/>
        </w:rPr>
        <w:t>合同</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rFonts w:hint="eastAsia" w:ascii="宋体" w:hAnsi="宋体" w:eastAsia="宋体"/>
          <w:b/>
          <w:color w:val="000000"/>
          <w:sz w:val="24"/>
        </w:rPr>
        <w:t>生效及其他</w:t>
      </w:r>
    </w:p>
    <w:p>
      <w:pPr>
        <w:spacing w:line="360" w:lineRule="auto"/>
        <w:ind w:firstLine="480" w:firstLineChars="200"/>
        <w:rPr>
          <w:rFonts w:ascii="宋体" w:hAnsi="宋体" w:eastAsia="宋体"/>
          <w:color w:val="000000"/>
          <w:sz w:val="24"/>
        </w:rPr>
      </w:pPr>
      <w:r>
        <w:rPr>
          <w:rFonts w:hint="eastAsia" w:ascii="宋体" w:hAnsi="宋体" w:eastAsia="宋体"/>
          <w:color w:val="000000"/>
          <w:sz w:val="24"/>
        </w:rPr>
        <w:t>1．合同经双方法定代表人或授权委托代理人签字并加盖单位公章后生效。</w:t>
      </w:r>
    </w:p>
    <w:p>
      <w:pPr>
        <w:spacing w:line="360" w:lineRule="auto"/>
        <w:ind w:firstLine="480" w:firstLineChars="200"/>
        <w:rPr>
          <w:rFonts w:ascii="宋体" w:hAnsi="宋体" w:eastAsia="宋体"/>
          <w:color w:val="000000"/>
          <w:sz w:val="24"/>
        </w:rPr>
      </w:pPr>
      <w:r>
        <w:rPr>
          <w:rFonts w:hint="eastAsia" w:ascii="宋体" w:hAnsi="宋体" w:eastAsia="宋体"/>
          <w:color w:val="000000"/>
          <w:sz w:val="24"/>
        </w:rPr>
        <w:t>2．合同执行中涉及采购资金和采购内容修改或补充的，须经政府采购监管部门审批，并签书面补充协议报政府采购监督管理部门备案，方可具备法律效力。</w:t>
      </w:r>
    </w:p>
    <w:p>
      <w:pPr>
        <w:spacing w:line="360" w:lineRule="auto"/>
        <w:ind w:firstLine="480" w:firstLineChars="200"/>
        <w:rPr>
          <w:rFonts w:ascii="宋体" w:hAnsi="宋体" w:eastAsia="宋体"/>
          <w:color w:val="000000"/>
          <w:sz w:val="24"/>
        </w:rPr>
      </w:pPr>
      <w:r>
        <w:rPr>
          <w:rFonts w:hint="eastAsia" w:ascii="宋体" w:hAnsi="宋体" w:eastAsia="宋体"/>
          <w:color w:val="000000"/>
          <w:sz w:val="24"/>
        </w:rPr>
        <w:t>3．本合同一式</w:t>
      </w:r>
      <w:r>
        <w:rPr>
          <w:rFonts w:ascii="宋体" w:hAnsi="宋体" w:eastAsia="宋体"/>
          <w:color w:val="000000"/>
          <w:sz w:val="24"/>
        </w:rPr>
        <w:t>5</w:t>
      </w:r>
      <w:r>
        <w:rPr>
          <w:rFonts w:hint="eastAsia" w:ascii="宋体" w:hAnsi="宋体" w:eastAsia="宋体"/>
          <w:color w:val="000000"/>
          <w:sz w:val="24"/>
        </w:rPr>
        <w:t>份，自双方签章之日起起效。甲方</w:t>
      </w:r>
      <w:r>
        <w:rPr>
          <w:rFonts w:ascii="宋体" w:hAnsi="宋体" w:eastAsia="宋体"/>
          <w:color w:val="000000"/>
          <w:sz w:val="24"/>
        </w:rPr>
        <w:t>2</w:t>
      </w:r>
      <w:r>
        <w:rPr>
          <w:rFonts w:hint="eastAsia" w:ascii="宋体" w:hAnsi="宋体" w:eastAsia="宋体"/>
          <w:color w:val="000000"/>
          <w:sz w:val="24"/>
        </w:rPr>
        <w:t>份，乙方</w:t>
      </w:r>
      <w:r>
        <w:rPr>
          <w:rFonts w:ascii="宋体" w:hAnsi="宋体" w:eastAsia="宋体"/>
          <w:color w:val="000000"/>
          <w:sz w:val="24"/>
        </w:rPr>
        <w:t>2</w:t>
      </w:r>
      <w:r>
        <w:rPr>
          <w:rFonts w:hint="eastAsia" w:ascii="宋体" w:hAnsi="宋体" w:eastAsia="宋体"/>
          <w:color w:val="000000"/>
          <w:sz w:val="24"/>
        </w:rPr>
        <w:t>份，同级财政部门备案</w:t>
      </w:r>
      <w:r>
        <w:rPr>
          <w:rFonts w:ascii="宋体" w:hAnsi="宋体" w:eastAsia="宋体"/>
          <w:color w:val="000000"/>
          <w:sz w:val="24"/>
        </w:rPr>
        <w:t>1</w:t>
      </w:r>
      <w:r>
        <w:rPr>
          <w:rFonts w:hint="eastAsia" w:ascii="宋体" w:hAnsi="宋体" w:eastAsia="宋体"/>
          <w:color w:val="000000"/>
          <w:sz w:val="24"/>
        </w:rPr>
        <w:t>份，具有同等法律效力。</w:t>
      </w:r>
    </w:p>
    <w:p>
      <w:pPr>
        <w:spacing w:line="360" w:lineRule="auto"/>
        <w:ind w:left="426"/>
        <w:rPr>
          <w:rFonts w:ascii="宋体" w:hAnsi="宋体" w:eastAsia="宋体"/>
          <w:b/>
          <w:color w:val="000000"/>
          <w:sz w:val="24"/>
        </w:rPr>
      </w:pPr>
      <w:r>
        <w:rPr>
          <w:rFonts w:hint="eastAsia" w:ascii="宋体" w:hAnsi="宋体" w:eastAsia="宋体"/>
          <w:b/>
          <w:color w:val="000000"/>
          <w:sz w:val="24"/>
        </w:rPr>
        <w:t>第十</w:t>
      </w:r>
      <w:r>
        <w:rPr>
          <w:rFonts w:hint="eastAsia" w:ascii="宋体" w:hAnsi="宋体" w:eastAsia="宋体"/>
          <w:b/>
          <w:color w:val="000000"/>
          <w:sz w:val="24"/>
          <w:lang w:eastAsia="zh-CN"/>
        </w:rPr>
        <w:t>四</w:t>
      </w:r>
      <w:r>
        <w:rPr>
          <w:rFonts w:hint="eastAsia" w:ascii="宋体" w:hAnsi="宋体" w:eastAsia="宋体"/>
          <w:b/>
          <w:color w:val="000000"/>
          <w:sz w:val="24"/>
        </w:rPr>
        <w:t>条  附件</w:t>
      </w:r>
    </w:p>
    <w:p>
      <w:pPr>
        <w:spacing w:line="360" w:lineRule="auto"/>
        <w:ind w:firstLine="480" w:firstLineChars="200"/>
        <w:rPr>
          <w:rFonts w:hint="eastAsia" w:ascii="宋体" w:hAnsi="宋体" w:eastAsia="宋体"/>
          <w:color w:val="000000"/>
          <w:sz w:val="24"/>
          <w:lang w:eastAsia="zh-CN"/>
        </w:rPr>
      </w:pPr>
      <w:r>
        <w:rPr>
          <w:rFonts w:hint="eastAsia" w:ascii="宋体" w:hAnsi="宋体" w:eastAsia="宋体"/>
          <w:color w:val="000000"/>
          <w:sz w:val="24"/>
        </w:rPr>
        <w:t>1．项目招标</w:t>
      </w:r>
      <w:r>
        <w:rPr>
          <w:rFonts w:hint="eastAsia" w:ascii="宋体" w:hAnsi="宋体" w:eastAsia="宋体"/>
          <w:color w:val="000000"/>
          <w:sz w:val="24"/>
          <w:lang w:eastAsia="zh-CN"/>
        </w:rPr>
        <w:t>公告</w:t>
      </w:r>
    </w:p>
    <w:p>
      <w:pPr>
        <w:spacing w:line="360" w:lineRule="auto"/>
        <w:ind w:firstLine="480" w:firstLineChars="200"/>
        <w:rPr>
          <w:rFonts w:ascii="宋体" w:hAnsi="宋体" w:eastAsia="宋体"/>
          <w:color w:val="000000"/>
          <w:sz w:val="24"/>
        </w:rPr>
      </w:pPr>
      <w:r>
        <w:rPr>
          <w:rFonts w:hint="eastAsia" w:ascii="宋体" w:hAnsi="宋体" w:eastAsia="宋体"/>
          <w:color w:val="000000"/>
          <w:sz w:val="24"/>
        </w:rPr>
        <w:t>2．项目修改澄清文件</w:t>
      </w:r>
    </w:p>
    <w:p>
      <w:pPr>
        <w:spacing w:line="360" w:lineRule="auto"/>
        <w:ind w:firstLine="480" w:firstLineChars="200"/>
        <w:rPr>
          <w:rFonts w:ascii="宋体" w:hAnsi="宋体" w:eastAsia="宋体"/>
          <w:color w:val="000000"/>
          <w:sz w:val="24"/>
        </w:rPr>
      </w:pPr>
      <w:r>
        <w:rPr>
          <w:rFonts w:hint="eastAsia" w:ascii="宋体" w:hAnsi="宋体" w:eastAsia="宋体"/>
          <w:color w:val="000000"/>
          <w:sz w:val="24"/>
        </w:rPr>
        <w:t>3．项目投标文件</w:t>
      </w:r>
    </w:p>
    <w:p>
      <w:pPr>
        <w:spacing w:line="360" w:lineRule="auto"/>
        <w:ind w:firstLine="480" w:firstLineChars="200"/>
        <w:rPr>
          <w:rFonts w:ascii="宋体" w:hAnsi="宋体" w:eastAsia="宋体"/>
          <w:color w:val="000000"/>
          <w:sz w:val="24"/>
        </w:rPr>
      </w:pPr>
      <w:r>
        <w:rPr>
          <w:rFonts w:hint="eastAsia" w:ascii="宋体" w:hAnsi="宋体" w:eastAsia="宋体"/>
          <w:color w:val="000000"/>
          <w:sz w:val="24"/>
        </w:rPr>
        <w:t>4．中标通知书</w:t>
      </w:r>
    </w:p>
    <w:p>
      <w:pPr>
        <w:spacing w:line="360" w:lineRule="auto"/>
        <w:ind w:firstLine="480" w:firstLineChars="200"/>
        <w:rPr>
          <w:rFonts w:hint="eastAsia" w:ascii="宋体" w:hAnsi="宋体" w:eastAsia="宋体"/>
          <w:color w:val="000000"/>
          <w:sz w:val="24"/>
        </w:rPr>
      </w:pPr>
      <w:r>
        <w:rPr>
          <w:rFonts w:hint="eastAsia" w:ascii="宋体" w:hAnsi="宋体" w:eastAsia="宋体"/>
          <w:color w:val="000000"/>
          <w:sz w:val="24"/>
        </w:rPr>
        <w:t>5、保密协议书、现场测评授权书</w:t>
      </w:r>
    </w:p>
    <w:tbl>
      <w:tblPr>
        <w:tblStyle w:val="10"/>
        <w:tblW w:w="9221" w:type="dxa"/>
        <w:jc w:val="center"/>
        <w:tblLayout w:type="fixed"/>
        <w:tblCellMar>
          <w:top w:w="0" w:type="dxa"/>
          <w:left w:w="108" w:type="dxa"/>
          <w:bottom w:w="0" w:type="dxa"/>
          <w:right w:w="108" w:type="dxa"/>
        </w:tblCellMar>
      </w:tblPr>
      <w:tblGrid>
        <w:gridCol w:w="4450"/>
        <w:gridCol w:w="236"/>
        <w:gridCol w:w="4535"/>
      </w:tblGrid>
      <w:tr>
        <w:tblPrEx>
          <w:tblCellMar>
            <w:top w:w="0" w:type="dxa"/>
            <w:left w:w="108" w:type="dxa"/>
            <w:bottom w:w="0" w:type="dxa"/>
            <w:right w:w="108" w:type="dxa"/>
          </w:tblCellMar>
        </w:tblPrEx>
        <w:trPr>
          <w:trHeight w:val="70" w:hRule="atLeast"/>
          <w:jc w:val="center"/>
        </w:trPr>
        <w:tc>
          <w:tcPr>
            <w:tcW w:w="4450" w:type="dxa"/>
            <w:tcBorders>
              <w:top w:val="dotted" w:color="auto" w:sz="4" w:space="0"/>
              <w:left w:val="dotted" w:color="auto" w:sz="4" w:space="0"/>
              <w:right w:val="dotted" w:color="auto" w:sz="4" w:space="0"/>
            </w:tcBorders>
            <w:vAlign w:val="center"/>
          </w:tcPr>
          <w:p>
            <w:pPr>
              <w:snapToGrid w:val="0"/>
              <w:spacing w:before="156" w:beforeLines="50" w:after="156" w:afterLines="50" w:line="276" w:lineRule="auto"/>
              <w:ind w:left="708" w:right="12" w:rightChars="6" w:hanging="710" w:hangingChars="295"/>
              <w:jc w:val="left"/>
              <w:rPr>
                <w:rFonts w:ascii="宋体" w:hAnsi="宋体" w:eastAsia="宋体"/>
                <w:bCs/>
                <w:sz w:val="24"/>
                <w:szCs w:val="24"/>
                <w:u w:val="single"/>
              </w:rPr>
            </w:pPr>
            <w:bookmarkStart w:id="54" w:name="_Hlk50117438"/>
            <w:r>
              <w:rPr>
                <w:rFonts w:hint="eastAsia" w:ascii="宋体" w:hAnsi="宋体" w:eastAsia="宋体"/>
                <w:b/>
                <w:sz w:val="24"/>
                <w:szCs w:val="24"/>
              </w:rPr>
              <w:t>甲方：</w:t>
            </w:r>
            <w:r>
              <w:rPr>
                <w:rFonts w:hint="eastAsia" w:ascii="宋体" w:hAnsi="宋体" w:eastAsia="宋体"/>
                <w:color w:val="000000"/>
                <w:sz w:val="24"/>
                <w:u w:val="single"/>
                <w:lang w:val="en-US" w:eastAsia="zh-CN"/>
              </w:rPr>
              <w:t xml:space="preserve">               </w:t>
            </w:r>
            <w:r>
              <w:rPr>
                <w:rFonts w:hint="eastAsia" w:ascii="宋体" w:hAnsi="宋体" w:eastAsia="宋体"/>
                <w:b/>
                <w:sz w:val="24"/>
                <w:szCs w:val="24"/>
                <w:u w:val="single"/>
              </w:rPr>
              <w:t>（盖章）</w:t>
            </w:r>
          </w:p>
        </w:tc>
        <w:tc>
          <w:tcPr>
            <w:tcW w:w="236" w:type="dxa"/>
            <w:vMerge w:val="restart"/>
            <w:tcBorders>
              <w:left w:val="dotted" w:color="auto" w:sz="4" w:space="0"/>
              <w:right w:val="dotted" w:color="auto" w:sz="4" w:space="0"/>
            </w:tcBorders>
            <w:vAlign w:val="center"/>
          </w:tcPr>
          <w:p>
            <w:pPr>
              <w:snapToGrid w:val="0"/>
              <w:spacing w:before="156" w:beforeLines="50" w:after="156" w:afterLines="50"/>
              <w:ind w:right="357" w:rightChars="170"/>
              <w:rPr>
                <w:rFonts w:ascii="宋体" w:hAnsi="宋体" w:eastAsia="宋体"/>
                <w:bCs/>
                <w:sz w:val="24"/>
                <w:szCs w:val="24"/>
              </w:rPr>
            </w:pPr>
          </w:p>
        </w:tc>
        <w:tc>
          <w:tcPr>
            <w:tcW w:w="4535" w:type="dxa"/>
            <w:tcBorders>
              <w:top w:val="dotted" w:color="auto" w:sz="4" w:space="0"/>
              <w:left w:val="dotted" w:color="auto" w:sz="4" w:space="0"/>
              <w:right w:val="dotted" w:color="auto" w:sz="4" w:space="0"/>
            </w:tcBorders>
            <w:vAlign w:val="center"/>
          </w:tcPr>
          <w:p>
            <w:pPr>
              <w:snapToGrid w:val="0"/>
              <w:spacing w:before="156" w:beforeLines="50" w:after="156" w:afterLines="50"/>
              <w:ind w:left="708" w:right="12" w:rightChars="6" w:hanging="710" w:hangingChars="295"/>
              <w:rPr>
                <w:rFonts w:ascii="宋体" w:hAnsi="宋体" w:eastAsia="宋体"/>
                <w:bCs/>
                <w:sz w:val="24"/>
                <w:szCs w:val="24"/>
              </w:rPr>
            </w:pPr>
            <w:r>
              <w:rPr>
                <w:rFonts w:hint="eastAsia" w:ascii="宋体" w:hAnsi="宋体" w:eastAsia="宋体"/>
                <w:b/>
                <w:sz w:val="24"/>
                <w:szCs w:val="24"/>
              </w:rPr>
              <w:t>乙方：</w:t>
            </w:r>
            <w:r>
              <w:rPr>
                <w:rFonts w:hint="eastAsia" w:ascii="宋体" w:hAnsi="宋体" w:eastAsia="宋体" w:cs="宋体"/>
                <w:b/>
                <w:bCs/>
                <w:kern w:val="0"/>
                <w:sz w:val="24"/>
                <w:szCs w:val="24"/>
                <w:u w:val="single"/>
                <w:lang w:val="en-US" w:eastAsia="zh-CN"/>
              </w:rPr>
              <w:t xml:space="preserve">             </w:t>
            </w:r>
            <w:r>
              <w:rPr>
                <w:rFonts w:hint="eastAsia" w:ascii="宋体" w:hAnsi="宋体" w:eastAsia="宋体" w:cs="宋体"/>
                <w:b/>
                <w:bCs/>
                <w:kern w:val="0"/>
                <w:sz w:val="24"/>
                <w:szCs w:val="24"/>
                <w:u w:val="single"/>
              </w:rPr>
              <w:t>（盖章）</w:t>
            </w:r>
          </w:p>
        </w:tc>
      </w:tr>
      <w:tr>
        <w:tblPrEx>
          <w:tblCellMar>
            <w:top w:w="0" w:type="dxa"/>
            <w:left w:w="108" w:type="dxa"/>
            <w:bottom w:w="0" w:type="dxa"/>
            <w:right w:w="108" w:type="dxa"/>
          </w:tblCellMar>
        </w:tblPrEx>
        <w:trPr>
          <w:trHeight w:val="80" w:hRule="atLeast"/>
          <w:jc w:val="center"/>
        </w:trPr>
        <w:tc>
          <w:tcPr>
            <w:tcW w:w="4450" w:type="dxa"/>
            <w:tcBorders>
              <w:left w:val="dotted" w:color="auto" w:sz="4" w:space="0"/>
              <w:right w:val="dotted" w:color="auto" w:sz="4" w:space="0"/>
            </w:tcBorders>
            <w:vAlign w:val="center"/>
          </w:tcPr>
          <w:p>
            <w:pPr>
              <w:snapToGrid w:val="0"/>
              <w:spacing w:before="156" w:beforeLines="50" w:after="156" w:afterLines="50" w:line="276" w:lineRule="auto"/>
              <w:ind w:right="12" w:rightChars="6"/>
              <w:jc w:val="left"/>
              <w:rPr>
                <w:rFonts w:ascii="宋体" w:hAnsi="宋体" w:eastAsia="宋体"/>
                <w:b/>
                <w:sz w:val="24"/>
                <w:szCs w:val="24"/>
              </w:rPr>
            </w:pPr>
          </w:p>
          <w:p>
            <w:pPr>
              <w:snapToGrid w:val="0"/>
              <w:spacing w:before="156" w:beforeLines="50" w:after="156" w:afterLines="50" w:line="276" w:lineRule="auto"/>
              <w:ind w:right="12" w:rightChars="6"/>
              <w:jc w:val="left"/>
              <w:rPr>
                <w:rFonts w:ascii="宋体" w:hAnsi="宋体" w:eastAsia="宋体"/>
                <w:b/>
                <w:bCs/>
                <w:sz w:val="24"/>
                <w:szCs w:val="24"/>
              </w:rPr>
            </w:pPr>
            <w:r>
              <w:rPr>
                <w:rFonts w:hint="eastAsia" w:ascii="宋体" w:hAnsi="宋体" w:eastAsia="宋体"/>
                <w:b/>
                <w:sz w:val="24"/>
                <w:szCs w:val="24"/>
              </w:rPr>
              <w:t>税号</w:t>
            </w:r>
            <w:r>
              <w:rPr>
                <w:rFonts w:hint="eastAsia" w:ascii="宋体" w:hAnsi="宋体" w:eastAsia="宋体"/>
                <w:sz w:val="24"/>
                <w:szCs w:val="24"/>
              </w:rPr>
              <w:t>：</w:t>
            </w:r>
            <w:r>
              <w:rPr>
                <w:rFonts w:ascii="宋体" w:hAnsi="宋体" w:eastAsia="宋体"/>
                <w:sz w:val="24"/>
                <w:szCs w:val="24"/>
                <w:u w:val="single"/>
              </w:rPr>
              <w:t xml:space="preserve">                      </w:t>
            </w:r>
          </w:p>
        </w:tc>
        <w:tc>
          <w:tcPr>
            <w:tcW w:w="236" w:type="dxa"/>
            <w:vMerge w:val="continue"/>
            <w:tcBorders>
              <w:left w:val="dotted" w:color="auto" w:sz="4" w:space="0"/>
              <w:right w:val="dotted" w:color="auto" w:sz="4" w:space="0"/>
            </w:tcBorders>
            <w:vAlign w:val="center"/>
          </w:tcPr>
          <w:p>
            <w:pPr>
              <w:snapToGrid w:val="0"/>
              <w:spacing w:before="156" w:beforeLines="50" w:after="156" w:afterLines="50"/>
              <w:ind w:right="357" w:rightChars="170"/>
              <w:rPr>
                <w:rFonts w:ascii="宋体" w:hAnsi="宋体" w:eastAsia="宋体"/>
                <w:bCs/>
                <w:sz w:val="24"/>
                <w:szCs w:val="24"/>
              </w:rPr>
            </w:pPr>
          </w:p>
        </w:tc>
        <w:tc>
          <w:tcPr>
            <w:tcW w:w="4535" w:type="dxa"/>
            <w:tcBorders>
              <w:left w:val="dotted" w:color="auto" w:sz="4" w:space="0"/>
              <w:right w:val="dotted" w:color="auto" w:sz="4" w:space="0"/>
            </w:tcBorders>
            <w:vAlign w:val="center"/>
          </w:tcPr>
          <w:p>
            <w:pPr>
              <w:snapToGrid w:val="0"/>
              <w:spacing w:before="156" w:beforeLines="50" w:after="156" w:afterLines="50"/>
              <w:ind w:right="12" w:rightChars="6"/>
              <w:rPr>
                <w:rFonts w:hint="default" w:ascii="宋体" w:hAnsi="宋体" w:eastAsia="宋体"/>
                <w:sz w:val="24"/>
                <w:szCs w:val="24"/>
                <w:lang w:val="en-US" w:eastAsia="zh-CN"/>
              </w:rPr>
            </w:pPr>
            <w:r>
              <w:rPr>
                <w:rFonts w:hint="eastAsia" w:ascii="宋体" w:hAnsi="宋体" w:eastAsia="宋体"/>
                <w:b/>
                <w:sz w:val="24"/>
                <w:szCs w:val="24"/>
              </w:rPr>
              <w:t>税号</w:t>
            </w:r>
            <w:r>
              <w:rPr>
                <w:rFonts w:hint="eastAsia" w:ascii="宋体" w:hAnsi="宋体" w:eastAsia="宋体"/>
                <w:sz w:val="24"/>
                <w:szCs w:val="24"/>
              </w:rPr>
              <w:t>：</w:t>
            </w:r>
            <w:r>
              <w:rPr>
                <w:rFonts w:hint="eastAsia" w:ascii="宋体" w:hAnsi="宋体" w:eastAsia="宋体"/>
                <w:sz w:val="24"/>
                <w:szCs w:val="24"/>
                <w:u w:val="single"/>
                <w:lang w:val="en-US" w:eastAsia="zh-CN"/>
              </w:rPr>
              <w:t xml:space="preserve">                 </w:t>
            </w:r>
          </w:p>
        </w:tc>
      </w:tr>
      <w:tr>
        <w:tblPrEx>
          <w:tblCellMar>
            <w:top w:w="0" w:type="dxa"/>
            <w:left w:w="108" w:type="dxa"/>
            <w:bottom w:w="0" w:type="dxa"/>
            <w:right w:w="108" w:type="dxa"/>
          </w:tblCellMar>
        </w:tblPrEx>
        <w:trPr>
          <w:trHeight w:val="616" w:hRule="atLeast"/>
          <w:jc w:val="center"/>
        </w:trPr>
        <w:tc>
          <w:tcPr>
            <w:tcW w:w="4450" w:type="dxa"/>
            <w:tcBorders>
              <w:left w:val="dotted" w:color="auto" w:sz="4" w:space="0"/>
              <w:right w:val="dotted" w:color="auto" w:sz="4" w:space="0"/>
            </w:tcBorders>
            <w:vAlign w:val="center"/>
          </w:tcPr>
          <w:p>
            <w:pPr>
              <w:snapToGrid w:val="0"/>
              <w:spacing w:before="156" w:beforeLines="50" w:after="156" w:afterLines="50" w:line="276" w:lineRule="auto"/>
              <w:ind w:right="12" w:rightChars="6"/>
              <w:jc w:val="left"/>
              <w:rPr>
                <w:rFonts w:ascii="宋体" w:hAnsi="宋体" w:eastAsia="宋体"/>
                <w:sz w:val="24"/>
                <w:szCs w:val="24"/>
                <w:u w:val="single"/>
              </w:rPr>
            </w:pPr>
          </w:p>
        </w:tc>
        <w:tc>
          <w:tcPr>
            <w:tcW w:w="236" w:type="dxa"/>
            <w:vMerge w:val="continue"/>
            <w:tcBorders>
              <w:left w:val="dotted" w:color="auto" w:sz="4" w:space="0"/>
              <w:right w:val="dotted" w:color="auto" w:sz="4" w:space="0"/>
            </w:tcBorders>
            <w:vAlign w:val="center"/>
          </w:tcPr>
          <w:p>
            <w:pPr>
              <w:snapToGrid w:val="0"/>
              <w:spacing w:before="156" w:beforeLines="50" w:after="156" w:afterLines="50"/>
              <w:ind w:right="357" w:rightChars="170"/>
              <w:rPr>
                <w:rFonts w:ascii="宋体" w:hAnsi="宋体" w:eastAsia="宋体"/>
                <w:bCs/>
                <w:sz w:val="24"/>
                <w:szCs w:val="24"/>
              </w:rPr>
            </w:pPr>
          </w:p>
        </w:tc>
        <w:tc>
          <w:tcPr>
            <w:tcW w:w="4535" w:type="dxa"/>
            <w:tcBorders>
              <w:left w:val="dotted" w:color="auto" w:sz="4" w:space="0"/>
              <w:right w:val="dotted" w:color="auto" w:sz="4" w:space="0"/>
            </w:tcBorders>
            <w:vAlign w:val="center"/>
          </w:tcPr>
          <w:p>
            <w:pPr>
              <w:snapToGrid w:val="0"/>
              <w:spacing w:before="156" w:beforeLines="50" w:after="156" w:afterLines="50"/>
              <w:ind w:right="12" w:rightChars="6"/>
              <w:rPr>
                <w:rFonts w:hint="default" w:ascii="宋体" w:hAnsi="宋体" w:eastAsia="宋体"/>
                <w:sz w:val="24"/>
                <w:szCs w:val="24"/>
                <w:lang w:val="en-US" w:eastAsia="zh-CN"/>
              </w:rPr>
            </w:pPr>
            <w:r>
              <w:rPr>
                <w:rFonts w:hint="eastAsia" w:ascii="宋体" w:hAnsi="宋体" w:eastAsia="宋体"/>
                <w:b/>
                <w:sz w:val="24"/>
                <w:szCs w:val="24"/>
              </w:rPr>
              <w:t>地址</w:t>
            </w:r>
            <w:r>
              <w:rPr>
                <w:rFonts w:hint="eastAsia" w:ascii="宋体" w:hAnsi="宋体" w:eastAsia="宋体"/>
                <w:sz w:val="24"/>
                <w:szCs w:val="24"/>
              </w:rPr>
              <w:t>：</w:t>
            </w:r>
            <w:r>
              <w:rPr>
                <w:rFonts w:hint="eastAsia" w:ascii="宋体" w:hAnsi="宋体" w:eastAsia="宋体"/>
                <w:sz w:val="24"/>
                <w:szCs w:val="24"/>
                <w:u w:val="single"/>
                <w:lang w:val="en-US" w:eastAsia="zh-CN"/>
              </w:rPr>
              <w:t xml:space="preserve">                          </w:t>
            </w:r>
          </w:p>
        </w:tc>
      </w:tr>
      <w:tr>
        <w:tblPrEx>
          <w:tblCellMar>
            <w:top w:w="0" w:type="dxa"/>
            <w:left w:w="108" w:type="dxa"/>
            <w:bottom w:w="0" w:type="dxa"/>
            <w:right w:w="108" w:type="dxa"/>
          </w:tblCellMar>
        </w:tblPrEx>
        <w:trPr>
          <w:trHeight w:val="80" w:hRule="atLeast"/>
          <w:jc w:val="center"/>
        </w:trPr>
        <w:tc>
          <w:tcPr>
            <w:tcW w:w="4450" w:type="dxa"/>
            <w:tcBorders>
              <w:left w:val="dotted" w:color="auto" w:sz="4" w:space="0"/>
              <w:right w:val="dotted" w:color="auto" w:sz="4" w:space="0"/>
            </w:tcBorders>
            <w:vAlign w:val="center"/>
          </w:tcPr>
          <w:p>
            <w:pPr>
              <w:snapToGrid w:val="0"/>
              <w:spacing w:before="156" w:beforeLines="50" w:after="156" w:afterLines="50" w:line="276" w:lineRule="auto"/>
              <w:ind w:right="12" w:rightChars="6"/>
              <w:jc w:val="left"/>
              <w:rPr>
                <w:rFonts w:ascii="宋体" w:hAnsi="宋体" w:eastAsia="宋体"/>
                <w:sz w:val="24"/>
                <w:szCs w:val="24"/>
                <w:u w:val="single"/>
              </w:rPr>
            </w:pPr>
          </w:p>
        </w:tc>
        <w:tc>
          <w:tcPr>
            <w:tcW w:w="236" w:type="dxa"/>
            <w:vMerge w:val="continue"/>
            <w:tcBorders>
              <w:left w:val="dotted" w:color="auto" w:sz="4" w:space="0"/>
              <w:right w:val="dotted" w:color="auto" w:sz="4" w:space="0"/>
            </w:tcBorders>
            <w:vAlign w:val="center"/>
          </w:tcPr>
          <w:p>
            <w:pPr>
              <w:snapToGrid w:val="0"/>
              <w:spacing w:before="156" w:beforeLines="50" w:after="156" w:afterLines="50"/>
              <w:ind w:right="357" w:rightChars="170"/>
              <w:rPr>
                <w:rFonts w:ascii="宋体" w:hAnsi="宋体" w:eastAsia="宋体"/>
                <w:sz w:val="24"/>
                <w:szCs w:val="24"/>
              </w:rPr>
            </w:pPr>
          </w:p>
        </w:tc>
        <w:tc>
          <w:tcPr>
            <w:tcW w:w="4535" w:type="dxa"/>
            <w:tcBorders>
              <w:left w:val="dotted" w:color="auto" w:sz="4" w:space="0"/>
              <w:right w:val="dotted" w:color="auto" w:sz="4" w:space="0"/>
            </w:tcBorders>
            <w:vAlign w:val="center"/>
          </w:tcPr>
          <w:p>
            <w:pPr>
              <w:snapToGrid w:val="0"/>
              <w:spacing w:before="156" w:beforeLines="50" w:after="156" w:afterLines="50"/>
              <w:ind w:right="357" w:rightChars="170"/>
              <w:rPr>
                <w:rFonts w:ascii="宋体" w:hAnsi="宋体" w:eastAsia="宋体"/>
                <w:sz w:val="24"/>
                <w:szCs w:val="24"/>
              </w:rPr>
            </w:pPr>
            <w:r>
              <w:rPr>
                <w:rFonts w:hint="eastAsia" w:ascii="宋体" w:hAnsi="宋体" w:eastAsia="宋体"/>
                <w:b/>
                <w:sz w:val="24"/>
                <w:szCs w:val="24"/>
              </w:rPr>
              <w:t>开户银行</w:t>
            </w:r>
            <w:r>
              <w:rPr>
                <w:rFonts w:hint="eastAsia" w:ascii="宋体" w:hAnsi="宋体" w:eastAsia="宋体"/>
                <w:sz w:val="24"/>
                <w:szCs w:val="24"/>
              </w:rPr>
              <w:t>：</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rPr>
              <w:t xml:space="preserve">       </w:t>
            </w:r>
          </w:p>
        </w:tc>
      </w:tr>
      <w:tr>
        <w:tblPrEx>
          <w:tblCellMar>
            <w:top w:w="0" w:type="dxa"/>
            <w:left w:w="108" w:type="dxa"/>
            <w:bottom w:w="0" w:type="dxa"/>
            <w:right w:w="108" w:type="dxa"/>
          </w:tblCellMar>
        </w:tblPrEx>
        <w:trPr>
          <w:trHeight w:val="80" w:hRule="atLeast"/>
          <w:jc w:val="center"/>
        </w:trPr>
        <w:tc>
          <w:tcPr>
            <w:tcW w:w="4450" w:type="dxa"/>
            <w:tcBorders>
              <w:left w:val="dotted" w:color="auto" w:sz="4" w:space="0"/>
              <w:right w:val="dotted" w:color="auto" w:sz="4" w:space="0"/>
            </w:tcBorders>
            <w:vAlign w:val="center"/>
          </w:tcPr>
          <w:p>
            <w:pPr>
              <w:snapToGrid w:val="0"/>
              <w:spacing w:before="156" w:beforeLines="50" w:after="156" w:afterLines="50" w:line="276" w:lineRule="auto"/>
              <w:jc w:val="left"/>
              <w:rPr>
                <w:rFonts w:ascii="宋体" w:hAnsi="宋体" w:eastAsia="宋体"/>
                <w:sz w:val="24"/>
                <w:szCs w:val="24"/>
                <w:u w:val="single"/>
              </w:rPr>
            </w:pPr>
          </w:p>
        </w:tc>
        <w:tc>
          <w:tcPr>
            <w:tcW w:w="236" w:type="dxa"/>
            <w:vMerge w:val="continue"/>
            <w:tcBorders>
              <w:left w:val="dotted" w:color="auto" w:sz="4" w:space="0"/>
              <w:right w:val="dotted" w:color="auto" w:sz="4" w:space="0"/>
            </w:tcBorders>
            <w:vAlign w:val="center"/>
          </w:tcPr>
          <w:p>
            <w:pPr>
              <w:snapToGrid w:val="0"/>
              <w:spacing w:before="156" w:beforeLines="50" w:after="156" w:afterLines="50"/>
              <w:ind w:right="357" w:rightChars="170"/>
              <w:rPr>
                <w:rFonts w:ascii="宋体" w:hAnsi="宋体" w:eastAsia="宋体"/>
                <w:sz w:val="24"/>
                <w:szCs w:val="24"/>
              </w:rPr>
            </w:pPr>
          </w:p>
        </w:tc>
        <w:tc>
          <w:tcPr>
            <w:tcW w:w="4535" w:type="dxa"/>
            <w:tcBorders>
              <w:left w:val="dotted" w:color="auto" w:sz="4" w:space="0"/>
              <w:right w:val="dotted" w:color="auto" w:sz="4" w:space="0"/>
            </w:tcBorders>
            <w:vAlign w:val="center"/>
          </w:tcPr>
          <w:p>
            <w:pPr>
              <w:snapToGrid w:val="0"/>
              <w:spacing w:before="156" w:beforeLines="50" w:after="156" w:afterLines="50"/>
              <w:ind w:right="357" w:rightChars="170"/>
              <w:rPr>
                <w:rFonts w:ascii="宋体" w:hAnsi="宋体" w:eastAsia="宋体"/>
                <w:sz w:val="24"/>
                <w:szCs w:val="24"/>
              </w:rPr>
            </w:pPr>
            <w:r>
              <w:rPr>
                <w:rFonts w:hint="eastAsia" w:ascii="宋体" w:hAnsi="宋体" w:eastAsia="宋体"/>
                <w:b/>
                <w:sz w:val="24"/>
                <w:szCs w:val="24"/>
              </w:rPr>
              <w:t>账    号：</w:t>
            </w:r>
            <w:r>
              <w:rPr>
                <w:rFonts w:hint="eastAsia" w:ascii="宋体" w:hAnsi="宋体" w:eastAsia="宋体"/>
                <w:sz w:val="24"/>
                <w:szCs w:val="24"/>
                <w:u w:val="single"/>
                <w:lang w:val="en-US" w:eastAsia="zh-CN"/>
              </w:rPr>
              <w:t xml:space="preserve">                      </w:t>
            </w:r>
            <w:r>
              <w:rPr>
                <w:rFonts w:hint="eastAsia" w:ascii="宋体" w:hAnsi="宋体" w:eastAsia="宋体"/>
                <w:sz w:val="24"/>
                <w:szCs w:val="24"/>
                <w:u w:val="single"/>
              </w:rPr>
              <w:t xml:space="preserve"> </w:t>
            </w:r>
          </w:p>
        </w:tc>
      </w:tr>
      <w:tr>
        <w:tblPrEx>
          <w:tblCellMar>
            <w:top w:w="0" w:type="dxa"/>
            <w:left w:w="108" w:type="dxa"/>
            <w:bottom w:w="0" w:type="dxa"/>
            <w:right w:w="108" w:type="dxa"/>
          </w:tblCellMar>
        </w:tblPrEx>
        <w:trPr>
          <w:trHeight w:val="978" w:hRule="atLeast"/>
          <w:jc w:val="center"/>
        </w:trPr>
        <w:tc>
          <w:tcPr>
            <w:tcW w:w="4450" w:type="dxa"/>
            <w:tcBorders>
              <w:left w:val="dotted" w:color="auto" w:sz="4" w:space="0"/>
              <w:right w:val="dotted" w:color="auto" w:sz="4" w:space="0"/>
            </w:tcBorders>
            <w:vAlign w:val="center"/>
          </w:tcPr>
          <w:p>
            <w:pPr>
              <w:snapToGrid w:val="0"/>
              <w:spacing w:line="276" w:lineRule="auto"/>
              <w:ind w:right="357" w:rightChars="170"/>
              <w:jc w:val="left"/>
              <w:rPr>
                <w:rFonts w:ascii="宋体" w:hAnsi="宋体" w:eastAsia="宋体"/>
                <w:sz w:val="24"/>
                <w:szCs w:val="24"/>
              </w:rPr>
            </w:pPr>
            <w:r>
              <w:rPr>
                <w:rFonts w:hint="eastAsia" w:ascii="宋体" w:hAnsi="宋体" w:eastAsia="宋体"/>
                <w:sz w:val="24"/>
                <w:szCs w:val="24"/>
              </w:rPr>
              <w:t>法定代表人/负责人或授权代表</w:t>
            </w:r>
          </w:p>
          <w:p>
            <w:pPr>
              <w:snapToGrid w:val="0"/>
              <w:spacing w:line="276" w:lineRule="auto"/>
              <w:ind w:right="357" w:rightChars="170"/>
              <w:jc w:val="left"/>
              <w:rPr>
                <w:rFonts w:ascii="宋体" w:hAnsi="宋体" w:eastAsia="宋体"/>
                <w:sz w:val="24"/>
                <w:szCs w:val="24"/>
                <w:u w:val="single"/>
              </w:rPr>
            </w:pPr>
            <w:r>
              <w:rPr>
                <w:rFonts w:hint="eastAsia" w:ascii="宋体" w:hAnsi="宋体" w:eastAsia="宋体"/>
                <w:sz w:val="24"/>
                <w:szCs w:val="24"/>
              </w:rPr>
              <w:t>(签字)：</w:t>
            </w:r>
            <w:r>
              <w:rPr>
                <w:rFonts w:hint="eastAsia" w:ascii="宋体" w:hAnsi="宋体" w:eastAsia="宋体"/>
                <w:sz w:val="24"/>
                <w:szCs w:val="24"/>
                <w:u w:val="single"/>
              </w:rPr>
              <w:t xml:space="preserve">                        </w:t>
            </w:r>
          </w:p>
        </w:tc>
        <w:tc>
          <w:tcPr>
            <w:tcW w:w="236" w:type="dxa"/>
            <w:vMerge w:val="continue"/>
            <w:tcBorders>
              <w:left w:val="dotted" w:color="auto" w:sz="4" w:space="0"/>
              <w:right w:val="dotted" w:color="auto" w:sz="4" w:space="0"/>
            </w:tcBorders>
            <w:vAlign w:val="center"/>
          </w:tcPr>
          <w:p>
            <w:pPr>
              <w:snapToGrid w:val="0"/>
              <w:spacing w:line="360" w:lineRule="auto"/>
              <w:ind w:right="357" w:rightChars="170"/>
              <w:rPr>
                <w:rFonts w:ascii="宋体" w:hAnsi="宋体" w:eastAsia="宋体"/>
                <w:sz w:val="24"/>
                <w:szCs w:val="24"/>
                <w:u w:val="single"/>
              </w:rPr>
            </w:pPr>
          </w:p>
        </w:tc>
        <w:tc>
          <w:tcPr>
            <w:tcW w:w="4535" w:type="dxa"/>
            <w:tcBorders>
              <w:left w:val="dotted" w:color="auto" w:sz="4" w:space="0"/>
              <w:right w:val="dotted" w:color="auto" w:sz="4" w:space="0"/>
            </w:tcBorders>
            <w:vAlign w:val="center"/>
          </w:tcPr>
          <w:p>
            <w:pPr>
              <w:snapToGrid w:val="0"/>
              <w:spacing w:line="360" w:lineRule="auto"/>
              <w:ind w:right="357" w:rightChars="170"/>
              <w:rPr>
                <w:rFonts w:ascii="宋体" w:hAnsi="宋体" w:eastAsia="宋体"/>
                <w:sz w:val="24"/>
                <w:szCs w:val="24"/>
              </w:rPr>
            </w:pPr>
            <w:r>
              <w:rPr>
                <w:rFonts w:hint="eastAsia" w:ascii="宋体" w:hAnsi="宋体" w:eastAsia="宋体"/>
                <w:sz w:val="24"/>
                <w:szCs w:val="24"/>
              </w:rPr>
              <w:t>法定代表人/负责人或授权代表</w:t>
            </w:r>
          </w:p>
          <w:p>
            <w:pPr>
              <w:snapToGrid w:val="0"/>
              <w:spacing w:line="360" w:lineRule="auto"/>
              <w:ind w:right="357" w:rightChars="170"/>
              <w:rPr>
                <w:rFonts w:ascii="宋体" w:hAnsi="宋体" w:eastAsia="宋体"/>
                <w:sz w:val="24"/>
                <w:szCs w:val="24"/>
              </w:rPr>
            </w:pPr>
            <w:r>
              <w:rPr>
                <w:rFonts w:hint="eastAsia" w:ascii="宋体" w:hAnsi="宋体" w:eastAsia="宋体"/>
                <w:sz w:val="24"/>
                <w:szCs w:val="24"/>
              </w:rPr>
              <w:t>(签字)：</w:t>
            </w:r>
            <w:r>
              <w:rPr>
                <w:rFonts w:hint="eastAsia" w:ascii="宋体" w:hAnsi="宋体" w:eastAsia="宋体"/>
                <w:sz w:val="24"/>
                <w:szCs w:val="24"/>
                <w:u w:val="single"/>
              </w:rPr>
              <w:t xml:space="preserve">                         </w:t>
            </w:r>
          </w:p>
        </w:tc>
      </w:tr>
      <w:tr>
        <w:tblPrEx>
          <w:tblCellMar>
            <w:top w:w="0" w:type="dxa"/>
            <w:left w:w="108" w:type="dxa"/>
            <w:bottom w:w="0" w:type="dxa"/>
            <w:right w:w="108" w:type="dxa"/>
          </w:tblCellMar>
        </w:tblPrEx>
        <w:trPr>
          <w:trHeight w:val="80" w:hRule="atLeast"/>
          <w:jc w:val="center"/>
        </w:trPr>
        <w:tc>
          <w:tcPr>
            <w:tcW w:w="4450" w:type="dxa"/>
            <w:tcBorders>
              <w:left w:val="dotted" w:color="auto" w:sz="4" w:space="0"/>
              <w:bottom w:val="dotted" w:color="auto" w:sz="4" w:space="0"/>
              <w:right w:val="dotted" w:color="auto" w:sz="4" w:space="0"/>
            </w:tcBorders>
            <w:vAlign w:val="center"/>
          </w:tcPr>
          <w:p>
            <w:pPr>
              <w:snapToGrid w:val="0"/>
              <w:spacing w:before="156" w:beforeLines="50" w:after="156" w:afterLines="50" w:line="276" w:lineRule="auto"/>
              <w:ind w:right="357" w:rightChars="170"/>
              <w:jc w:val="left"/>
              <w:rPr>
                <w:rFonts w:ascii="宋体" w:hAnsi="宋体" w:eastAsia="宋体"/>
                <w:sz w:val="24"/>
                <w:szCs w:val="24"/>
              </w:rPr>
            </w:pPr>
            <w:r>
              <w:rPr>
                <w:rFonts w:hint="eastAsia" w:ascii="宋体" w:hAnsi="宋体" w:eastAsia="宋体"/>
                <w:sz w:val="24"/>
                <w:szCs w:val="24"/>
              </w:rPr>
              <w:t>(日期)：</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hint="eastAsia" w:ascii="宋体" w:hAnsi="宋体" w:eastAsia="宋体"/>
                <w:sz w:val="24"/>
                <w:szCs w:val="24"/>
              </w:rPr>
              <w:t>日</w:t>
            </w:r>
          </w:p>
        </w:tc>
        <w:tc>
          <w:tcPr>
            <w:tcW w:w="236" w:type="dxa"/>
            <w:vMerge w:val="continue"/>
            <w:tcBorders>
              <w:left w:val="dotted" w:color="auto" w:sz="4" w:space="0"/>
              <w:right w:val="dotted" w:color="auto" w:sz="4" w:space="0"/>
            </w:tcBorders>
            <w:vAlign w:val="center"/>
          </w:tcPr>
          <w:p>
            <w:pPr>
              <w:snapToGrid w:val="0"/>
              <w:spacing w:before="156" w:beforeLines="50" w:after="156" w:afterLines="50"/>
              <w:ind w:right="357" w:rightChars="170"/>
              <w:rPr>
                <w:rFonts w:ascii="宋体" w:hAnsi="宋体" w:eastAsia="宋体"/>
                <w:sz w:val="24"/>
                <w:szCs w:val="24"/>
              </w:rPr>
            </w:pPr>
          </w:p>
        </w:tc>
        <w:tc>
          <w:tcPr>
            <w:tcW w:w="4535" w:type="dxa"/>
            <w:tcBorders>
              <w:left w:val="dotted" w:color="auto" w:sz="4" w:space="0"/>
              <w:bottom w:val="dotted" w:color="auto" w:sz="4" w:space="0"/>
              <w:right w:val="dotted" w:color="auto" w:sz="4" w:space="0"/>
            </w:tcBorders>
            <w:vAlign w:val="center"/>
          </w:tcPr>
          <w:p>
            <w:pPr>
              <w:snapToGrid w:val="0"/>
              <w:spacing w:before="156" w:beforeLines="50" w:after="156" w:afterLines="50"/>
              <w:ind w:right="357" w:rightChars="170"/>
              <w:rPr>
                <w:rFonts w:ascii="宋体" w:hAnsi="宋体" w:eastAsia="宋体"/>
                <w:sz w:val="24"/>
                <w:szCs w:val="24"/>
              </w:rPr>
            </w:pPr>
            <w:r>
              <w:rPr>
                <w:rFonts w:hint="eastAsia" w:ascii="宋体" w:hAnsi="宋体" w:eastAsia="宋体"/>
                <w:sz w:val="24"/>
                <w:szCs w:val="24"/>
              </w:rPr>
              <w:t>(日期)：</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hint="eastAsia" w:ascii="宋体" w:hAnsi="宋体" w:eastAsia="宋体"/>
                <w:sz w:val="24"/>
                <w:szCs w:val="24"/>
              </w:rPr>
              <w:t>日</w:t>
            </w:r>
          </w:p>
        </w:tc>
      </w:tr>
      <w:bookmarkEnd w:id="54"/>
    </w:tbl>
    <w:p>
      <w:pPr>
        <w:widowControl/>
        <w:jc w:val="left"/>
        <w:rPr>
          <w:rFonts w:ascii="宋体" w:hAnsi="宋体" w:eastAsia="宋体"/>
        </w:rPr>
      </w:pPr>
      <w:r>
        <w:rPr>
          <w:rFonts w:ascii="宋体" w:hAnsi="宋体" w:eastAsia="宋体"/>
        </w:rPr>
        <w:br w:type="page"/>
      </w:r>
    </w:p>
    <w:p>
      <w:pPr>
        <w:spacing w:before="100" w:beforeAutospacing="1" w:after="100" w:afterAutospacing="1" w:line="360" w:lineRule="auto"/>
        <w:jc w:val="center"/>
        <w:outlineLvl w:val="0"/>
        <w:rPr>
          <w:rFonts w:ascii="宋体" w:hAnsi="宋体" w:eastAsia="宋体"/>
          <w:b/>
          <w:color w:val="000000"/>
          <w:sz w:val="24"/>
          <w:szCs w:val="24"/>
        </w:rPr>
      </w:pPr>
      <w:bookmarkStart w:id="55" w:name="_Hlk17887770"/>
      <w:bookmarkStart w:id="56" w:name="_Hlk108623809"/>
      <w:r>
        <w:rPr>
          <w:rFonts w:hint="eastAsia" w:ascii="宋体" w:hAnsi="宋体" w:eastAsia="宋体"/>
          <w:b/>
          <w:color w:val="000000"/>
          <w:sz w:val="24"/>
          <w:szCs w:val="24"/>
        </w:rPr>
        <w:t>保密协议书</w:t>
      </w:r>
    </w:p>
    <w:p>
      <w:pPr>
        <w:spacing w:after="100" w:afterAutospacing="1" w:line="360" w:lineRule="auto"/>
        <w:ind w:firstLine="480" w:firstLineChars="200"/>
        <w:rPr>
          <w:rFonts w:ascii="宋体" w:hAnsi="宋体" w:eastAsia="宋体" w:cs="仿宋_GB2312"/>
          <w:color w:val="000000"/>
          <w:sz w:val="24"/>
          <w:szCs w:val="24"/>
        </w:rPr>
      </w:pPr>
      <w:r>
        <w:rPr>
          <w:rFonts w:hint="eastAsia" w:ascii="宋体" w:hAnsi="宋体" w:eastAsia="宋体" w:cs="仿宋_GB2312"/>
          <w:color w:val="000000"/>
          <w:sz w:val="24"/>
          <w:szCs w:val="24"/>
        </w:rPr>
        <w:t>甲方：</w:t>
      </w:r>
      <w:r>
        <w:rPr>
          <w:rFonts w:hint="eastAsia" w:ascii="宋体" w:hAnsi="宋体" w:eastAsia="宋体"/>
          <w:color w:val="000000"/>
          <w:sz w:val="24"/>
          <w:lang w:val="en-US" w:eastAsia="zh-CN"/>
        </w:rPr>
        <w:t xml:space="preserve"> </w:t>
      </w:r>
      <w:r>
        <w:rPr>
          <w:rFonts w:hint="eastAsia" w:ascii="宋体" w:hAnsi="宋体" w:eastAsia="宋体" w:cs="仿宋_GB2312"/>
          <w:color w:val="000000"/>
          <w:sz w:val="24"/>
          <w:szCs w:val="24"/>
        </w:rPr>
        <w:t xml:space="preserve"> </w:t>
      </w:r>
      <w:r>
        <w:rPr>
          <w:rFonts w:ascii="宋体" w:hAnsi="宋体" w:eastAsia="宋体" w:cs="仿宋_GB2312"/>
          <w:color w:val="000000"/>
          <w:sz w:val="24"/>
          <w:szCs w:val="24"/>
        </w:rPr>
        <w:t xml:space="preserve">   </w:t>
      </w:r>
    </w:p>
    <w:p>
      <w:pPr>
        <w:spacing w:after="100" w:afterAutospacing="1" w:line="360" w:lineRule="auto"/>
        <w:ind w:firstLine="480" w:firstLineChars="200"/>
        <w:rPr>
          <w:rFonts w:hint="eastAsia" w:ascii="宋体" w:hAnsi="宋体" w:eastAsia="宋体" w:cs="仿宋_GB2312"/>
          <w:color w:val="000000"/>
          <w:sz w:val="24"/>
          <w:szCs w:val="24"/>
          <w:lang w:eastAsia="zh-CN"/>
        </w:rPr>
      </w:pPr>
      <w:r>
        <w:rPr>
          <w:rFonts w:hint="eastAsia" w:ascii="宋体" w:hAnsi="宋体" w:eastAsia="宋体" w:cs="仿宋_GB2312"/>
          <w:color w:val="000000"/>
          <w:sz w:val="24"/>
          <w:szCs w:val="24"/>
        </w:rPr>
        <w:t>乙方：</w:t>
      </w:r>
      <w:r>
        <w:rPr>
          <w:rFonts w:hint="eastAsia" w:ascii="宋体" w:hAnsi="宋体" w:eastAsia="宋体" w:cs="仿宋_GB2312"/>
          <w:color w:val="000000"/>
          <w:sz w:val="24"/>
          <w:szCs w:val="24"/>
          <w:lang w:val="en-US" w:eastAsia="zh-CN"/>
        </w:rPr>
        <w:t xml:space="preserve"> </w:t>
      </w:r>
    </w:p>
    <w:p>
      <w:pPr>
        <w:rPr>
          <w:rFonts w:ascii="宋体" w:hAnsi="宋体" w:eastAsia="宋体" w:cs="仿宋_GB2312"/>
          <w:color w:val="000000"/>
          <w:sz w:val="24"/>
          <w:szCs w:val="24"/>
        </w:rPr>
      </w:pPr>
    </w:p>
    <w:p>
      <w:pPr>
        <w:spacing w:after="100" w:afterAutospacing="1" w:line="360" w:lineRule="auto"/>
        <w:ind w:firstLine="480" w:firstLineChars="200"/>
        <w:rPr>
          <w:rFonts w:ascii="宋体" w:hAnsi="宋体" w:eastAsia="宋体" w:cs="仿宋_GB2312"/>
          <w:color w:val="000000"/>
          <w:sz w:val="24"/>
          <w:szCs w:val="24"/>
        </w:rPr>
      </w:pPr>
      <w:r>
        <w:rPr>
          <w:rFonts w:hint="eastAsia" w:ascii="宋体" w:hAnsi="宋体" w:eastAsia="宋体" w:cs="仿宋_GB2312"/>
          <w:color w:val="000000"/>
          <w:sz w:val="24"/>
          <w:szCs w:val="24"/>
        </w:rPr>
        <w:t>甲、乙双方根据《中华人民共和国反不正当竞争法》和国家、地方有关规定，就双方商务、技术等私密保护达成如下协议：</w:t>
      </w:r>
    </w:p>
    <w:p>
      <w:pPr>
        <w:spacing w:after="100" w:afterAutospacing="1" w:line="360" w:lineRule="auto"/>
        <w:ind w:firstLine="480" w:firstLineChars="200"/>
        <w:rPr>
          <w:rFonts w:ascii="宋体" w:hAnsi="宋体" w:eastAsia="宋体" w:cs="仿宋_GB2312"/>
          <w:color w:val="000000"/>
          <w:sz w:val="24"/>
          <w:szCs w:val="24"/>
        </w:rPr>
      </w:pPr>
      <w:r>
        <w:rPr>
          <w:rFonts w:hint="eastAsia" w:ascii="宋体" w:hAnsi="宋体" w:eastAsia="宋体" w:cs="仿宋_GB2312"/>
          <w:color w:val="000000"/>
          <w:sz w:val="24"/>
          <w:szCs w:val="24"/>
        </w:rPr>
        <w:t>一、保密内容和范围</w:t>
      </w:r>
    </w:p>
    <w:p>
      <w:pPr>
        <w:spacing w:after="100" w:afterAutospacing="1" w:line="360" w:lineRule="auto"/>
        <w:ind w:firstLine="480" w:firstLineChars="200"/>
        <w:rPr>
          <w:rFonts w:ascii="宋体" w:hAnsi="宋体" w:eastAsia="宋体" w:cs="仿宋_GB2312"/>
          <w:color w:val="000000"/>
          <w:sz w:val="24"/>
          <w:szCs w:val="24"/>
        </w:rPr>
      </w:pPr>
      <w:r>
        <w:rPr>
          <w:rFonts w:hint="eastAsia" w:ascii="宋体" w:hAnsi="宋体" w:eastAsia="宋体" w:cs="仿宋_GB2312"/>
          <w:color w:val="000000"/>
          <w:sz w:val="24"/>
          <w:szCs w:val="24"/>
        </w:rPr>
        <w:t>1.项目所涉及的商务洽谈内容（含服务价格）及技术交流获得提供的与本项目有关的技术资料、需求分析等内容。</w:t>
      </w:r>
    </w:p>
    <w:p>
      <w:pPr>
        <w:spacing w:after="100" w:afterAutospacing="1" w:line="360" w:lineRule="auto"/>
        <w:ind w:firstLine="480" w:firstLineChars="200"/>
        <w:rPr>
          <w:rFonts w:ascii="宋体" w:hAnsi="宋体" w:eastAsia="宋体" w:cs="仿宋_GB2312"/>
          <w:color w:val="000000"/>
          <w:sz w:val="24"/>
          <w:szCs w:val="24"/>
        </w:rPr>
      </w:pPr>
      <w:r>
        <w:rPr>
          <w:rFonts w:hint="eastAsia" w:ascii="宋体" w:hAnsi="宋体" w:eastAsia="宋体" w:cs="仿宋_GB2312"/>
          <w:color w:val="000000"/>
          <w:sz w:val="24"/>
          <w:szCs w:val="24"/>
        </w:rPr>
        <w:t>2.与项目有关的设计方案、实施方案、测试记录、测试成果等内容。</w:t>
      </w:r>
    </w:p>
    <w:p>
      <w:pPr>
        <w:spacing w:after="100" w:afterAutospacing="1" w:line="360" w:lineRule="auto"/>
        <w:ind w:firstLine="480" w:firstLineChars="200"/>
        <w:rPr>
          <w:rFonts w:ascii="宋体" w:hAnsi="宋体" w:eastAsia="宋体" w:cs="仿宋_GB2312"/>
          <w:color w:val="000000"/>
          <w:sz w:val="24"/>
          <w:szCs w:val="24"/>
        </w:rPr>
      </w:pPr>
      <w:r>
        <w:rPr>
          <w:rFonts w:hint="eastAsia" w:ascii="宋体" w:hAnsi="宋体" w:eastAsia="宋体" w:cs="仿宋_GB2312"/>
          <w:color w:val="000000"/>
          <w:sz w:val="24"/>
          <w:szCs w:val="24"/>
        </w:rPr>
        <w:t>3.乙方在合同期内因工作行为所接触和掌握到的甲方技术成果、设备配置、网络搭建、技术文档等相关技术资料以及甲方的全部非公开信息。</w:t>
      </w:r>
    </w:p>
    <w:p>
      <w:pPr>
        <w:spacing w:after="100" w:afterAutospacing="1" w:line="360" w:lineRule="auto"/>
        <w:ind w:firstLine="480" w:firstLineChars="200"/>
        <w:rPr>
          <w:rFonts w:ascii="宋体" w:hAnsi="宋体" w:eastAsia="宋体"/>
          <w:color w:val="000000"/>
          <w:sz w:val="24"/>
          <w:szCs w:val="24"/>
        </w:rPr>
      </w:pPr>
      <w:r>
        <w:rPr>
          <w:rFonts w:ascii="宋体" w:hAnsi="宋体" w:eastAsia="宋体" w:cs="仿宋_GB2312"/>
          <w:color w:val="000000"/>
          <w:sz w:val="24"/>
          <w:szCs w:val="24"/>
        </w:rPr>
        <w:t>4</w:t>
      </w:r>
      <w:r>
        <w:rPr>
          <w:rFonts w:hint="eastAsia" w:ascii="宋体" w:hAnsi="宋体" w:eastAsia="宋体" w:cs="仿宋_GB2312"/>
          <w:color w:val="000000"/>
          <w:sz w:val="24"/>
          <w:szCs w:val="24"/>
        </w:rPr>
        <w:t>.</w:t>
      </w:r>
      <w:r>
        <w:rPr>
          <w:rFonts w:hint="eastAsia" w:ascii="宋体" w:hAnsi="宋体" w:eastAsia="宋体"/>
          <w:color w:val="000000"/>
          <w:sz w:val="24"/>
          <w:szCs w:val="24"/>
        </w:rPr>
        <w:t>乙方在履行本合同过程中所创造产生的所有知识产权。</w:t>
      </w:r>
    </w:p>
    <w:p>
      <w:pPr>
        <w:spacing w:after="100" w:afterAutospacing="1" w:line="360" w:lineRule="auto"/>
        <w:ind w:firstLine="480" w:firstLineChars="200"/>
        <w:rPr>
          <w:rFonts w:ascii="宋体" w:hAnsi="宋体" w:eastAsia="宋体" w:cs="仿宋_GB2312"/>
          <w:color w:val="000000"/>
          <w:sz w:val="24"/>
          <w:szCs w:val="24"/>
        </w:rPr>
      </w:pPr>
      <w:r>
        <w:rPr>
          <w:rFonts w:ascii="宋体" w:hAnsi="宋体" w:eastAsia="宋体" w:cs="仿宋_GB2312"/>
          <w:color w:val="000000"/>
          <w:sz w:val="24"/>
          <w:szCs w:val="24"/>
        </w:rPr>
        <w:t>5</w:t>
      </w:r>
      <w:r>
        <w:rPr>
          <w:rFonts w:hint="eastAsia" w:ascii="宋体" w:hAnsi="宋体" w:eastAsia="宋体" w:cs="仿宋_GB2312"/>
          <w:color w:val="000000"/>
          <w:sz w:val="24"/>
          <w:szCs w:val="24"/>
        </w:rPr>
        <w:t>.《中华人民共和国保密法》和国家、地方有关规定的保守国家秘密的内容。</w:t>
      </w:r>
    </w:p>
    <w:p>
      <w:pPr>
        <w:spacing w:after="100" w:afterAutospacing="1" w:line="360" w:lineRule="auto"/>
        <w:ind w:firstLine="480" w:firstLineChars="200"/>
        <w:rPr>
          <w:rFonts w:ascii="宋体" w:hAnsi="宋体" w:eastAsia="宋体" w:cs="仿宋_GB2312"/>
          <w:color w:val="000000"/>
          <w:sz w:val="24"/>
          <w:szCs w:val="24"/>
        </w:rPr>
      </w:pPr>
      <w:r>
        <w:rPr>
          <w:rFonts w:hint="eastAsia" w:ascii="宋体" w:hAnsi="宋体" w:eastAsia="宋体" w:cs="仿宋_GB2312"/>
          <w:color w:val="000000"/>
          <w:sz w:val="24"/>
          <w:szCs w:val="24"/>
        </w:rPr>
        <w:t>二、双方的权利和义务</w:t>
      </w:r>
    </w:p>
    <w:p>
      <w:pPr>
        <w:spacing w:after="100" w:afterAutospacing="1" w:line="360" w:lineRule="auto"/>
        <w:ind w:firstLine="480" w:firstLineChars="200"/>
        <w:rPr>
          <w:rFonts w:ascii="宋体" w:hAnsi="宋体" w:eastAsia="宋体" w:cs="仿宋_GB2312"/>
          <w:color w:val="000000"/>
          <w:sz w:val="24"/>
          <w:szCs w:val="24"/>
        </w:rPr>
      </w:pPr>
      <w:r>
        <w:rPr>
          <w:rFonts w:hint="eastAsia" w:ascii="宋体" w:hAnsi="宋体" w:eastAsia="宋体" w:cs="仿宋_GB2312"/>
          <w:color w:val="000000"/>
          <w:sz w:val="24"/>
          <w:szCs w:val="24"/>
        </w:rPr>
        <w:t>1.乙方必须严格遵守甲方的保密制度，严禁泄漏国家和商业秘密及技术秘密。</w:t>
      </w:r>
    </w:p>
    <w:p>
      <w:pPr>
        <w:spacing w:after="100" w:afterAutospacing="1" w:line="360" w:lineRule="auto"/>
        <w:ind w:left="239" w:leftChars="114" w:firstLine="240" w:firstLineChars="100"/>
        <w:rPr>
          <w:rFonts w:ascii="宋体" w:hAnsi="宋体" w:eastAsia="宋体" w:cs="仿宋_GB2312"/>
          <w:color w:val="000000"/>
          <w:sz w:val="24"/>
          <w:szCs w:val="24"/>
        </w:rPr>
      </w:pPr>
      <w:r>
        <w:rPr>
          <w:rFonts w:hint="eastAsia" w:ascii="宋体" w:hAnsi="宋体" w:eastAsia="宋体" w:cs="仿宋_GB2312"/>
          <w:color w:val="000000"/>
          <w:sz w:val="24"/>
          <w:szCs w:val="24"/>
        </w:rPr>
        <w:t>2未经甲或乙方书面同意，任何一方不得将任何商业秘密及技术秘密及其他秘密向本项目无关的第三方泄露或复制传递，但向监管部门以及根据国家法律法规规定和政府有关部门要求提供除外。</w:t>
      </w:r>
    </w:p>
    <w:p>
      <w:pPr>
        <w:spacing w:after="100" w:afterAutospacing="1" w:line="360" w:lineRule="auto"/>
        <w:ind w:firstLine="480" w:firstLineChars="200"/>
        <w:rPr>
          <w:rFonts w:ascii="宋体" w:hAnsi="宋体" w:eastAsia="宋体" w:cs="仿宋_GB2312"/>
          <w:color w:val="000000"/>
          <w:sz w:val="24"/>
          <w:szCs w:val="24"/>
        </w:rPr>
      </w:pPr>
      <w:r>
        <w:rPr>
          <w:rFonts w:hint="eastAsia" w:ascii="宋体" w:hAnsi="宋体" w:eastAsia="宋体" w:cs="仿宋_GB2312"/>
          <w:color w:val="000000"/>
          <w:sz w:val="24"/>
          <w:szCs w:val="24"/>
        </w:rPr>
        <w:t>三、协议期限</w:t>
      </w:r>
    </w:p>
    <w:p>
      <w:pPr>
        <w:spacing w:after="100" w:afterAutospacing="1" w:line="360" w:lineRule="auto"/>
        <w:ind w:firstLine="480" w:firstLineChars="200"/>
        <w:rPr>
          <w:rFonts w:ascii="宋体" w:hAnsi="宋体" w:eastAsia="宋体" w:cs="仿宋_GB2312"/>
          <w:color w:val="000000"/>
          <w:sz w:val="24"/>
          <w:szCs w:val="24"/>
        </w:rPr>
      </w:pPr>
      <w:r>
        <w:rPr>
          <w:rFonts w:hint="eastAsia" w:ascii="宋体" w:hAnsi="宋体" w:eastAsia="宋体" w:cs="仿宋_GB2312"/>
          <w:color w:val="000000"/>
          <w:sz w:val="24"/>
          <w:szCs w:val="24"/>
        </w:rPr>
        <w:t>1.甲、乙双方签署的服务合同终止后，本协议项下的保密义务并不终止，直至相关保密信息非因承担保密义务的一方原因成为公开信息时止或双方按照下款规定终止保密协议。</w:t>
      </w:r>
    </w:p>
    <w:p>
      <w:pPr>
        <w:spacing w:after="100" w:afterAutospacing="1" w:line="360" w:lineRule="auto"/>
        <w:ind w:firstLine="480" w:firstLineChars="200"/>
        <w:rPr>
          <w:rFonts w:ascii="宋体" w:hAnsi="宋体" w:eastAsia="宋体"/>
          <w:color w:val="000000"/>
          <w:sz w:val="24"/>
          <w:szCs w:val="24"/>
        </w:rPr>
      </w:pPr>
      <w:r>
        <w:rPr>
          <w:rFonts w:hint="eastAsia" w:ascii="宋体" w:hAnsi="宋体" w:eastAsia="宋体" w:cs="仿宋_GB2312"/>
          <w:color w:val="000000"/>
          <w:sz w:val="24"/>
          <w:szCs w:val="24"/>
        </w:rPr>
        <w:t>2.服务合同终止或者解除后，本保密协议继续有效，双方若协商一致可终止本保密协议，则本协议终止。单方面终止无效。</w:t>
      </w:r>
    </w:p>
    <w:p>
      <w:pPr>
        <w:ind w:firstLine="480" w:firstLineChars="200"/>
        <w:rPr>
          <w:rFonts w:ascii="宋体" w:hAnsi="宋体" w:eastAsia="宋体"/>
          <w:color w:val="000000"/>
          <w:sz w:val="24"/>
          <w:szCs w:val="24"/>
        </w:rPr>
      </w:pPr>
      <w:r>
        <w:rPr>
          <w:rFonts w:hint="eastAsia" w:ascii="宋体" w:hAnsi="宋体" w:eastAsia="宋体" w:cs="仿宋_GB2312"/>
          <w:color w:val="000000"/>
          <w:sz w:val="24"/>
          <w:szCs w:val="24"/>
        </w:rPr>
        <w:t>本保密协议经甲乙双方加盖公章后生效。</w:t>
      </w:r>
    </w:p>
    <w:p>
      <w:pPr>
        <w:rPr>
          <w:rFonts w:ascii="宋体" w:hAnsi="宋体" w:eastAsia="宋体"/>
          <w:color w:val="000000"/>
          <w:sz w:val="24"/>
          <w:szCs w:val="24"/>
        </w:rPr>
      </w:pPr>
    </w:p>
    <w:p>
      <w:pPr>
        <w:rPr>
          <w:rFonts w:ascii="宋体" w:hAnsi="宋体" w:eastAsia="宋体" w:cs="仿宋_GB2312"/>
          <w:color w:val="000000"/>
          <w:sz w:val="24"/>
          <w:szCs w:val="24"/>
        </w:rPr>
      </w:pPr>
      <w:r>
        <w:rPr>
          <w:rFonts w:hint="eastAsia" w:ascii="宋体" w:hAnsi="宋体" w:eastAsia="宋体" w:cs="仿宋_GB2312"/>
          <w:color w:val="000000"/>
          <w:sz w:val="24"/>
          <w:szCs w:val="24"/>
        </w:rPr>
        <w:t>甲方：</w:t>
      </w:r>
      <w:r>
        <w:rPr>
          <w:rFonts w:hint="eastAsia" w:ascii="宋体" w:hAnsi="宋体" w:eastAsia="宋体"/>
          <w:color w:val="000000"/>
          <w:sz w:val="24"/>
          <w:lang w:val="en-US" w:eastAsia="zh-CN"/>
        </w:rPr>
        <w:t xml:space="preserve">              </w:t>
      </w:r>
      <w:r>
        <w:rPr>
          <w:rFonts w:hint="eastAsia" w:ascii="宋体" w:hAnsi="宋体" w:eastAsia="宋体" w:cs="仿宋_GB2312"/>
          <w:color w:val="000000"/>
          <w:sz w:val="24"/>
          <w:szCs w:val="24"/>
        </w:rPr>
        <w:t>（盖章）</w:t>
      </w:r>
      <w:r>
        <w:rPr>
          <w:rFonts w:hint="eastAsia" w:ascii="宋体" w:hAnsi="宋体" w:eastAsia="宋体"/>
          <w:color w:val="000000"/>
          <w:sz w:val="24"/>
        </w:rPr>
        <w:t xml:space="preserve"> </w:t>
      </w:r>
      <w:r>
        <w:rPr>
          <w:rFonts w:ascii="宋体" w:hAnsi="宋体" w:eastAsia="宋体"/>
          <w:color w:val="000000"/>
          <w:sz w:val="24"/>
        </w:rPr>
        <w:t xml:space="preserve">  </w:t>
      </w:r>
    </w:p>
    <w:p>
      <w:pPr>
        <w:rPr>
          <w:rFonts w:ascii="宋体" w:hAnsi="宋体" w:eastAsia="宋体"/>
          <w:color w:val="000000"/>
          <w:sz w:val="24"/>
          <w:szCs w:val="24"/>
        </w:rPr>
      </w:pPr>
      <w:r>
        <w:rPr>
          <w:rFonts w:hint="eastAsia" w:ascii="宋体" w:hAnsi="宋体" w:eastAsia="宋体" w:cs="仿宋_GB2312"/>
          <w:color w:val="000000"/>
          <w:sz w:val="24"/>
          <w:szCs w:val="24"/>
        </w:rPr>
        <w:t xml:space="preserve">                              </w:t>
      </w:r>
    </w:p>
    <w:p>
      <w:pPr>
        <w:rPr>
          <w:rFonts w:ascii="宋体" w:hAnsi="宋体" w:eastAsia="宋体" w:cs="仿宋_GB2312"/>
          <w:color w:val="000000"/>
          <w:sz w:val="24"/>
          <w:szCs w:val="24"/>
        </w:rPr>
      </w:pPr>
      <w:r>
        <w:rPr>
          <w:rFonts w:hint="eastAsia" w:ascii="宋体" w:hAnsi="宋体" w:eastAsia="宋体" w:cs="仿宋_GB2312"/>
          <w:color w:val="000000"/>
          <w:sz w:val="24"/>
          <w:szCs w:val="24"/>
        </w:rPr>
        <w:t xml:space="preserve">日期：        年    月    日                 </w:t>
      </w:r>
    </w:p>
    <w:p>
      <w:pPr>
        <w:rPr>
          <w:rFonts w:ascii="宋体" w:hAnsi="宋体" w:eastAsia="宋体"/>
          <w:color w:val="000000"/>
          <w:sz w:val="24"/>
          <w:szCs w:val="24"/>
        </w:rPr>
      </w:pPr>
      <w:bookmarkStart w:id="57" w:name="_Hlt525572247"/>
      <w:bookmarkEnd w:id="57"/>
    </w:p>
    <w:p>
      <w:pPr>
        <w:ind w:left="5520" w:hanging="5520" w:hangingChars="2300"/>
        <w:rPr>
          <w:rFonts w:ascii="宋体" w:hAnsi="宋体" w:eastAsia="宋体"/>
          <w:color w:val="000000"/>
          <w:sz w:val="24"/>
          <w:szCs w:val="24"/>
        </w:rPr>
      </w:pPr>
      <w:r>
        <w:rPr>
          <w:rFonts w:hint="eastAsia" w:ascii="宋体" w:hAnsi="宋体" w:eastAsia="宋体" w:cs="仿宋_GB2312"/>
          <w:color w:val="000000"/>
          <w:sz w:val="24"/>
          <w:szCs w:val="24"/>
        </w:rPr>
        <w:t>乙方：</w:t>
      </w:r>
      <w:r>
        <w:rPr>
          <w:rFonts w:hint="eastAsia" w:ascii="宋体" w:hAnsi="宋体" w:eastAsia="宋体" w:cs="宋体"/>
          <w:color w:val="000000"/>
          <w:kern w:val="0"/>
          <w:sz w:val="24"/>
          <w:szCs w:val="24"/>
          <w:lang w:val="en-US" w:eastAsia="zh-CN"/>
        </w:rPr>
        <w:t xml:space="preserve">        </w:t>
      </w:r>
      <w:r>
        <w:rPr>
          <w:rFonts w:hint="eastAsia" w:ascii="宋体" w:hAnsi="宋体" w:eastAsia="宋体" w:cs="仿宋_GB2312"/>
          <w:color w:val="000000"/>
          <w:sz w:val="24"/>
          <w:szCs w:val="24"/>
        </w:rPr>
        <w:t>（盖章）</w:t>
      </w:r>
    </w:p>
    <w:p>
      <w:pPr>
        <w:rPr>
          <w:rFonts w:ascii="宋体" w:hAnsi="宋体" w:eastAsia="宋体"/>
          <w:color w:val="000000"/>
          <w:sz w:val="24"/>
          <w:szCs w:val="24"/>
        </w:rPr>
      </w:pPr>
      <w:r>
        <w:rPr>
          <w:rFonts w:hint="eastAsia" w:ascii="宋体" w:hAnsi="宋体" w:eastAsia="宋体" w:cs="仿宋_GB2312"/>
          <w:color w:val="000000"/>
          <w:sz w:val="24"/>
          <w:szCs w:val="24"/>
        </w:rPr>
        <w:t xml:space="preserve">                             </w:t>
      </w:r>
    </w:p>
    <w:p>
      <w:pPr>
        <w:rPr>
          <w:rFonts w:ascii="宋体" w:hAnsi="宋体" w:eastAsia="宋体" w:cs="仿宋_GB2312"/>
          <w:color w:val="000000"/>
          <w:sz w:val="24"/>
          <w:szCs w:val="24"/>
        </w:rPr>
      </w:pPr>
      <w:r>
        <w:rPr>
          <w:rFonts w:hint="eastAsia" w:ascii="宋体" w:hAnsi="宋体" w:eastAsia="宋体" w:cs="仿宋_GB2312"/>
          <w:color w:val="000000"/>
          <w:sz w:val="24"/>
          <w:szCs w:val="24"/>
        </w:rPr>
        <w:t xml:space="preserve">日期：        年    月    日      </w:t>
      </w:r>
    </w:p>
    <w:p>
      <w:pPr>
        <w:spacing w:before="100" w:beforeAutospacing="1" w:after="100" w:afterAutospacing="1" w:line="360" w:lineRule="auto"/>
        <w:jc w:val="center"/>
        <w:outlineLvl w:val="0"/>
        <w:rPr>
          <w:rFonts w:ascii="宋体" w:hAnsi="宋体" w:eastAsia="宋体"/>
          <w:b/>
          <w:color w:val="000000"/>
          <w:sz w:val="24"/>
          <w:szCs w:val="24"/>
        </w:rPr>
      </w:pPr>
      <w:r>
        <w:rPr>
          <w:rFonts w:ascii="宋体" w:hAnsi="宋体" w:eastAsia="宋体" w:cs="仿宋_GB2312"/>
          <w:color w:val="000000"/>
          <w:sz w:val="24"/>
          <w:szCs w:val="24"/>
        </w:rPr>
        <w:br w:type="page"/>
      </w:r>
      <w:r>
        <w:rPr>
          <w:rFonts w:hint="eastAsia" w:ascii="宋体" w:hAnsi="宋体" w:eastAsia="宋体" w:cs="仿宋_GB2312"/>
          <w:color w:val="000000"/>
          <w:sz w:val="24"/>
          <w:szCs w:val="24"/>
        </w:rPr>
        <w:t xml:space="preserve"> </w:t>
      </w:r>
      <w:r>
        <w:rPr>
          <w:rFonts w:hint="eastAsia" w:ascii="宋体" w:hAnsi="宋体" w:eastAsia="宋体"/>
          <w:b/>
          <w:color w:val="000000"/>
          <w:sz w:val="24"/>
          <w:szCs w:val="24"/>
        </w:rPr>
        <w:t>现场测评授权书</w:t>
      </w:r>
    </w:p>
    <w:p>
      <w:pPr>
        <w:spacing w:after="100" w:afterAutospacing="1" w:line="360" w:lineRule="auto"/>
        <w:ind w:firstLine="480" w:firstLineChars="200"/>
        <w:rPr>
          <w:rFonts w:ascii="宋体" w:hAnsi="宋体" w:eastAsia="宋体" w:cs="仿宋_GB2312"/>
          <w:color w:val="000000"/>
          <w:sz w:val="24"/>
          <w:szCs w:val="24"/>
        </w:rPr>
      </w:pPr>
      <w:r>
        <w:rPr>
          <w:rFonts w:hint="eastAsia" w:ascii="宋体" w:hAnsi="宋体" w:eastAsia="宋体" w:cs="仿宋_GB2312"/>
          <w:color w:val="000000"/>
          <w:sz w:val="24"/>
          <w:szCs w:val="24"/>
        </w:rPr>
        <w:t>甲方：</w:t>
      </w:r>
      <w:r>
        <w:rPr>
          <w:rFonts w:hint="eastAsia" w:ascii="宋体" w:hAnsi="宋体" w:eastAsia="宋体"/>
          <w:color w:val="000000"/>
          <w:sz w:val="24"/>
          <w:lang w:val="en-US" w:eastAsia="zh-CN"/>
        </w:rPr>
        <w:t xml:space="preserve">               </w:t>
      </w:r>
      <w:r>
        <w:rPr>
          <w:rFonts w:hint="eastAsia" w:ascii="宋体" w:hAnsi="宋体" w:eastAsia="宋体" w:cs="仿宋_GB2312"/>
          <w:color w:val="000000"/>
          <w:sz w:val="24"/>
          <w:szCs w:val="24"/>
        </w:rPr>
        <w:t xml:space="preserve"> </w:t>
      </w:r>
    </w:p>
    <w:p>
      <w:pPr>
        <w:spacing w:after="100" w:afterAutospacing="1" w:line="360" w:lineRule="auto"/>
        <w:ind w:firstLine="480" w:firstLineChars="200"/>
        <w:rPr>
          <w:rFonts w:ascii="宋体" w:hAnsi="宋体" w:eastAsia="宋体" w:cs="仿宋_GB2312"/>
          <w:color w:val="000000"/>
          <w:sz w:val="24"/>
          <w:szCs w:val="24"/>
        </w:rPr>
      </w:pPr>
      <w:r>
        <w:rPr>
          <w:rFonts w:hint="eastAsia" w:ascii="宋体" w:hAnsi="宋体" w:eastAsia="宋体" w:cs="仿宋_GB2312"/>
          <w:color w:val="000000"/>
          <w:sz w:val="24"/>
          <w:szCs w:val="24"/>
        </w:rPr>
        <w:t>乙方：</w:t>
      </w:r>
      <w:r>
        <w:rPr>
          <w:rFonts w:hint="eastAsia" w:ascii="宋体" w:hAnsi="宋体" w:eastAsia="宋体" w:cs="仿宋_GB2312"/>
          <w:color w:val="000000"/>
          <w:sz w:val="24"/>
          <w:szCs w:val="24"/>
          <w:lang w:val="en-US" w:eastAsia="zh-CN"/>
        </w:rPr>
        <w:t xml:space="preserve">                </w:t>
      </w:r>
      <w:r>
        <w:rPr>
          <w:rFonts w:hint="eastAsia" w:ascii="宋体" w:hAnsi="宋体" w:eastAsia="宋体" w:cs="仿宋_GB2312"/>
          <w:color w:val="000000"/>
          <w:sz w:val="24"/>
          <w:szCs w:val="24"/>
        </w:rPr>
        <w:t xml:space="preserve"> </w:t>
      </w:r>
    </w:p>
    <w:p>
      <w:pPr>
        <w:spacing w:after="100" w:afterAutospacing="1" w:line="360" w:lineRule="auto"/>
        <w:ind w:firstLine="480" w:firstLineChars="200"/>
        <w:rPr>
          <w:rFonts w:ascii="宋体" w:hAnsi="宋体" w:eastAsia="宋体" w:cs="仿宋_GB2312"/>
          <w:color w:val="000000"/>
          <w:sz w:val="24"/>
          <w:szCs w:val="24"/>
        </w:rPr>
      </w:pPr>
      <w:r>
        <w:rPr>
          <w:rFonts w:hint="eastAsia" w:ascii="宋体" w:hAnsi="宋体" w:eastAsia="宋体" w:cs="仿宋_GB2312"/>
          <w:color w:val="000000"/>
          <w:sz w:val="24"/>
          <w:szCs w:val="24"/>
        </w:rPr>
        <w:t>甲方委托乙方对合同中所涉及测评服务对象开展等级保护测评服务及信息安全风险评估（以下简称“测评”）。</w:t>
      </w:r>
    </w:p>
    <w:p>
      <w:pPr>
        <w:spacing w:after="100" w:afterAutospacing="1" w:line="360" w:lineRule="auto"/>
        <w:ind w:firstLine="480" w:firstLineChars="200"/>
        <w:rPr>
          <w:rFonts w:ascii="宋体" w:hAnsi="宋体" w:eastAsia="宋体" w:cs="仿宋_GB2312"/>
          <w:color w:val="000000"/>
          <w:sz w:val="24"/>
          <w:szCs w:val="24"/>
        </w:rPr>
      </w:pPr>
      <w:r>
        <w:rPr>
          <w:rFonts w:hint="eastAsia" w:ascii="宋体" w:hAnsi="宋体" w:eastAsia="宋体" w:cs="仿宋_GB2312"/>
          <w:color w:val="000000"/>
          <w:sz w:val="24"/>
          <w:szCs w:val="24"/>
        </w:rPr>
        <w:t>为确保测评工作的顺利进行，并保证甲方信息系统所涉及的操作系统、应用系统及网络等的文档和数据的安全性，甲乙双方就下述事宜达成一致，特制定本协议。</w:t>
      </w:r>
    </w:p>
    <w:p>
      <w:pPr>
        <w:spacing w:after="100" w:afterAutospacing="1" w:line="360" w:lineRule="auto"/>
        <w:ind w:firstLine="480" w:firstLineChars="200"/>
        <w:rPr>
          <w:rFonts w:ascii="宋体" w:hAnsi="宋体" w:eastAsia="宋体" w:cs="仿宋_GB2312"/>
          <w:color w:val="000000"/>
          <w:sz w:val="24"/>
          <w:szCs w:val="24"/>
        </w:rPr>
      </w:pPr>
      <w:r>
        <w:rPr>
          <w:rFonts w:hint="eastAsia" w:ascii="宋体" w:hAnsi="宋体" w:eastAsia="宋体" w:cs="仿宋_GB2312"/>
          <w:color w:val="000000"/>
          <w:sz w:val="24"/>
          <w:szCs w:val="24"/>
        </w:rPr>
        <w:t>一、甲方责任</w:t>
      </w:r>
    </w:p>
    <w:p>
      <w:pPr>
        <w:spacing w:after="100" w:afterAutospacing="1" w:line="360" w:lineRule="auto"/>
        <w:ind w:firstLine="480" w:firstLineChars="200"/>
        <w:rPr>
          <w:rFonts w:ascii="宋体" w:hAnsi="宋体" w:eastAsia="宋体" w:cs="仿宋_GB2312"/>
          <w:color w:val="000000"/>
          <w:sz w:val="24"/>
          <w:szCs w:val="24"/>
        </w:rPr>
      </w:pPr>
      <w:r>
        <w:rPr>
          <w:rFonts w:hint="eastAsia" w:ascii="宋体" w:hAnsi="宋体" w:eastAsia="宋体" w:cs="仿宋_GB2312"/>
          <w:color w:val="000000"/>
          <w:sz w:val="24"/>
          <w:szCs w:val="24"/>
        </w:rPr>
        <w:t>1、甲方提供准确的信息系统信息（包括应用系统、网络系统、服务器系统、数据及备份系统、相关文档资料的基本信息），并安排专人全程配合测评工作，确保测评工作的顺利进行。</w:t>
      </w:r>
    </w:p>
    <w:p>
      <w:pPr>
        <w:spacing w:after="100" w:afterAutospacing="1" w:line="360" w:lineRule="auto"/>
        <w:ind w:firstLine="480" w:firstLineChars="200"/>
        <w:rPr>
          <w:rFonts w:ascii="宋体" w:hAnsi="宋体" w:eastAsia="宋体" w:cs="仿宋_GB2312"/>
          <w:color w:val="000000"/>
          <w:sz w:val="24"/>
          <w:szCs w:val="24"/>
        </w:rPr>
      </w:pPr>
      <w:r>
        <w:rPr>
          <w:rFonts w:hint="eastAsia" w:ascii="宋体" w:hAnsi="宋体" w:eastAsia="宋体" w:cs="仿宋_GB2312"/>
          <w:color w:val="000000"/>
          <w:sz w:val="24"/>
          <w:szCs w:val="24"/>
        </w:rPr>
        <w:t>2、甲方允许乙方在测评过程中对所获取的信息进行必要的记录。</w:t>
      </w:r>
    </w:p>
    <w:p>
      <w:pPr>
        <w:spacing w:after="100" w:afterAutospacing="1" w:line="360" w:lineRule="auto"/>
        <w:ind w:firstLine="480" w:firstLineChars="200"/>
        <w:rPr>
          <w:rFonts w:ascii="宋体" w:hAnsi="宋体" w:eastAsia="宋体" w:cs="仿宋_GB2312"/>
          <w:color w:val="000000"/>
          <w:sz w:val="24"/>
          <w:szCs w:val="24"/>
        </w:rPr>
      </w:pPr>
      <w:r>
        <w:rPr>
          <w:rFonts w:hint="eastAsia" w:ascii="宋体" w:hAnsi="宋体" w:eastAsia="宋体" w:cs="仿宋_GB2312"/>
          <w:color w:val="000000"/>
          <w:sz w:val="24"/>
          <w:szCs w:val="24"/>
        </w:rPr>
        <w:t>3、甲方应在测评工作中配合乙方测评工作，以确保乙方所获取信息的真实性。</w:t>
      </w:r>
    </w:p>
    <w:p>
      <w:pPr>
        <w:spacing w:after="100" w:afterAutospacing="1" w:line="360" w:lineRule="auto"/>
        <w:ind w:firstLine="480" w:firstLineChars="200"/>
        <w:rPr>
          <w:rFonts w:ascii="宋体" w:hAnsi="宋体" w:eastAsia="宋体" w:cs="仿宋_GB2312"/>
          <w:color w:val="000000"/>
          <w:sz w:val="24"/>
          <w:szCs w:val="24"/>
        </w:rPr>
      </w:pPr>
      <w:r>
        <w:rPr>
          <w:rFonts w:hint="eastAsia" w:ascii="宋体" w:hAnsi="宋体" w:eastAsia="宋体" w:cs="仿宋_GB2312"/>
          <w:color w:val="000000"/>
          <w:sz w:val="24"/>
          <w:szCs w:val="24"/>
        </w:rPr>
        <w:t>4、甲方应在测评前对相关数据进行必要的备份。</w:t>
      </w:r>
    </w:p>
    <w:p>
      <w:pPr>
        <w:spacing w:after="100" w:afterAutospacing="1" w:line="360" w:lineRule="auto"/>
        <w:ind w:firstLine="480" w:firstLineChars="200"/>
        <w:rPr>
          <w:rFonts w:ascii="宋体" w:hAnsi="宋体" w:eastAsia="宋体" w:cs="仿宋_GB2312"/>
          <w:color w:val="000000"/>
          <w:sz w:val="24"/>
          <w:szCs w:val="24"/>
        </w:rPr>
      </w:pPr>
      <w:r>
        <w:rPr>
          <w:rFonts w:hint="eastAsia" w:ascii="宋体" w:hAnsi="宋体" w:eastAsia="宋体" w:cs="仿宋_GB2312"/>
          <w:color w:val="000000"/>
          <w:sz w:val="24"/>
          <w:szCs w:val="24"/>
        </w:rPr>
        <w:t>5、甲方在未经乙方允许的情况下，不得泄露乙方在测评工作中所使用的测试方法、技术及相关输出。</w:t>
      </w:r>
    </w:p>
    <w:p>
      <w:pPr>
        <w:spacing w:after="100" w:afterAutospacing="1" w:line="360" w:lineRule="auto"/>
        <w:ind w:firstLine="480" w:firstLineChars="200"/>
        <w:rPr>
          <w:rFonts w:ascii="宋体" w:hAnsi="宋体" w:eastAsia="宋体" w:cs="仿宋_GB2312"/>
          <w:color w:val="000000"/>
          <w:sz w:val="24"/>
          <w:szCs w:val="24"/>
        </w:rPr>
      </w:pPr>
      <w:r>
        <w:rPr>
          <w:rFonts w:hint="eastAsia" w:ascii="宋体" w:hAnsi="宋体" w:eastAsia="宋体" w:cs="仿宋_GB2312"/>
          <w:color w:val="000000"/>
          <w:sz w:val="24"/>
          <w:szCs w:val="24"/>
        </w:rPr>
        <w:t>二、乙方责任</w:t>
      </w:r>
    </w:p>
    <w:p>
      <w:pPr>
        <w:spacing w:after="100" w:afterAutospacing="1" w:line="360" w:lineRule="auto"/>
        <w:ind w:firstLine="480" w:firstLineChars="200"/>
        <w:rPr>
          <w:rFonts w:ascii="宋体" w:hAnsi="宋体" w:eastAsia="宋体" w:cs="仿宋_GB2312"/>
          <w:color w:val="000000"/>
          <w:sz w:val="24"/>
          <w:szCs w:val="24"/>
        </w:rPr>
      </w:pPr>
      <w:r>
        <w:rPr>
          <w:rFonts w:hint="eastAsia" w:ascii="宋体" w:hAnsi="宋体" w:eastAsia="宋体" w:cs="仿宋_GB2312"/>
          <w:color w:val="000000"/>
          <w:sz w:val="24"/>
          <w:szCs w:val="24"/>
        </w:rPr>
        <w:t>1、对于乙方在测评过程中所获取的任何信息，仅在编写报告时使用。</w:t>
      </w:r>
    </w:p>
    <w:p>
      <w:pPr>
        <w:spacing w:after="100" w:afterAutospacing="1" w:line="360" w:lineRule="auto"/>
        <w:ind w:firstLine="480" w:firstLineChars="200"/>
        <w:rPr>
          <w:rFonts w:ascii="宋体" w:hAnsi="宋体" w:eastAsia="宋体" w:cs="仿宋_GB2312"/>
          <w:color w:val="000000"/>
          <w:sz w:val="24"/>
          <w:szCs w:val="24"/>
        </w:rPr>
      </w:pPr>
      <w:r>
        <w:rPr>
          <w:rFonts w:hint="eastAsia" w:ascii="宋体" w:hAnsi="宋体" w:eastAsia="宋体" w:cs="仿宋_GB2312"/>
          <w:color w:val="000000"/>
          <w:sz w:val="24"/>
          <w:szCs w:val="24"/>
        </w:rPr>
        <w:t>2、在未经授权的情况下，乙方不得向任何单位提供测评过程中所获取的信息。</w:t>
      </w:r>
    </w:p>
    <w:p>
      <w:pPr>
        <w:spacing w:after="100" w:afterAutospacing="1" w:line="360" w:lineRule="auto"/>
        <w:ind w:firstLine="480" w:firstLineChars="200"/>
        <w:rPr>
          <w:rFonts w:ascii="宋体" w:hAnsi="宋体" w:eastAsia="宋体" w:cs="仿宋_GB2312"/>
          <w:color w:val="000000"/>
          <w:sz w:val="24"/>
          <w:szCs w:val="24"/>
        </w:rPr>
      </w:pPr>
      <w:r>
        <w:rPr>
          <w:rFonts w:hint="eastAsia" w:ascii="宋体" w:hAnsi="宋体" w:eastAsia="宋体" w:cs="仿宋_GB2312"/>
          <w:color w:val="000000"/>
          <w:sz w:val="24"/>
          <w:szCs w:val="24"/>
        </w:rPr>
        <w:t>3、乙方在测评过程中应尽量避免影响甲方业务的正常运行，若出现意外操作而导致的异常则应立刻通知甲方并积极配合协商解决。</w:t>
      </w:r>
    </w:p>
    <w:p>
      <w:pPr>
        <w:spacing w:after="100" w:afterAutospacing="1" w:line="360" w:lineRule="auto"/>
        <w:ind w:firstLine="480" w:firstLineChars="200"/>
        <w:rPr>
          <w:rFonts w:ascii="宋体" w:hAnsi="宋体" w:eastAsia="宋体" w:cs="仿宋_GB2312"/>
          <w:color w:val="000000"/>
          <w:sz w:val="24"/>
          <w:szCs w:val="24"/>
        </w:rPr>
      </w:pPr>
      <w:r>
        <w:rPr>
          <w:rFonts w:hint="eastAsia" w:ascii="宋体" w:hAnsi="宋体" w:eastAsia="宋体" w:cs="仿宋_GB2312"/>
          <w:color w:val="000000"/>
          <w:sz w:val="24"/>
          <w:szCs w:val="24"/>
        </w:rPr>
        <w:t>4、在测试完成后，乙方承诺不对外泄露甲方测试信息。</w:t>
      </w:r>
    </w:p>
    <w:p>
      <w:pPr>
        <w:spacing w:line="360" w:lineRule="auto"/>
        <w:ind w:firstLine="480" w:firstLineChars="200"/>
        <w:rPr>
          <w:rFonts w:ascii="宋体" w:hAnsi="宋体" w:eastAsia="宋体"/>
          <w:color w:val="000000"/>
          <w:sz w:val="24"/>
        </w:rPr>
      </w:pPr>
      <w:r>
        <w:rPr>
          <w:rFonts w:hint="eastAsia" w:ascii="宋体" w:hAnsi="宋体" w:eastAsia="宋体"/>
          <w:color w:val="000000"/>
          <w:sz w:val="24"/>
        </w:rPr>
        <w:t>5、测评现场工作可能会给被测系统带来如下风险：</w:t>
      </w:r>
    </w:p>
    <w:p>
      <w:pPr>
        <w:numPr>
          <w:ilvl w:val="0"/>
          <w:numId w:val="5"/>
        </w:numPr>
        <w:spacing w:line="360" w:lineRule="auto"/>
        <w:ind w:firstLine="300"/>
        <w:rPr>
          <w:rFonts w:ascii="宋体" w:hAnsi="宋体" w:eastAsia="宋体"/>
          <w:color w:val="000000"/>
          <w:sz w:val="24"/>
        </w:rPr>
      </w:pPr>
      <w:r>
        <w:rPr>
          <w:rFonts w:hint="eastAsia" w:ascii="宋体" w:hAnsi="宋体" w:eastAsia="宋体"/>
          <w:color w:val="000000"/>
          <w:sz w:val="24"/>
        </w:rPr>
        <w:t>网络性能变慢；</w:t>
      </w:r>
    </w:p>
    <w:p>
      <w:pPr>
        <w:numPr>
          <w:ilvl w:val="0"/>
          <w:numId w:val="5"/>
        </w:numPr>
        <w:spacing w:line="360" w:lineRule="auto"/>
        <w:ind w:firstLine="300"/>
        <w:rPr>
          <w:rFonts w:ascii="宋体" w:hAnsi="宋体" w:eastAsia="宋体"/>
          <w:color w:val="000000"/>
          <w:sz w:val="24"/>
        </w:rPr>
      </w:pPr>
      <w:r>
        <w:rPr>
          <w:rFonts w:hint="eastAsia" w:ascii="宋体" w:hAnsi="宋体" w:eastAsia="宋体"/>
          <w:color w:val="000000"/>
          <w:sz w:val="24"/>
        </w:rPr>
        <w:t>网络设备性能变慢或停机；</w:t>
      </w:r>
    </w:p>
    <w:p>
      <w:pPr>
        <w:numPr>
          <w:ilvl w:val="0"/>
          <w:numId w:val="5"/>
        </w:numPr>
        <w:spacing w:line="360" w:lineRule="auto"/>
        <w:ind w:firstLine="300"/>
        <w:rPr>
          <w:rFonts w:ascii="宋体" w:hAnsi="宋体" w:eastAsia="宋体"/>
          <w:color w:val="000000"/>
          <w:sz w:val="24"/>
        </w:rPr>
      </w:pPr>
      <w:r>
        <w:rPr>
          <w:rFonts w:hint="eastAsia" w:ascii="宋体" w:hAnsi="宋体" w:eastAsia="宋体"/>
          <w:color w:val="000000"/>
          <w:sz w:val="24"/>
        </w:rPr>
        <w:t>主机服务器性能变慢或停机；</w:t>
      </w:r>
    </w:p>
    <w:p>
      <w:pPr>
        <w:numPr>
          <w:ilvl w:val="0"/>
          <w:numId w:val="5"/>
        </w:numPr>
        <w:spacing w:line="360" w:lineRule="auto"/>
        <w:ind w:firstLine="300"/>
        <w:rPr>
          <w:rFonts w:ascii="宋体" w:hAnsi="宋体" w:eastAsia="宋体"/>
          <w:color w:val="000000"/>
          <w:sz w:val="24"/>
        </w:rPr>
      </w:pPr>
      <w:r>
        <w:rPr>
          <w:rFonts w:hint="eastAsia" w:ascii="宋体" w:hAnsi="宋体" w:eastAsia="宋体"/>
          <w:color w:val="000000"/>
          <w:sz w:val="24"/>
        </w:rPr>
        <w:t>应用系统性能变慢或下线；</w:t>
      </w:r>
    </w:p>
    <w:p>
      <w:pPr>
        <w:numPr>
          <w:ilvl w:val="0"/>
          <w:numId w:val="5"/>
        </w:numPr>
        <w:spacing w:line="360" w:lineRule="auto"/>
        <w:ind w:firstLine="300"/>
        <w:rPr>
          <w:rFonts w:ascii="宋体" w:hAnsi="宋体" w:eastAsia="宋体"/>
          <w:color w:val="000000"/>
          <w:sz w:val="24"/>
        </w:rPr>
      </w:pPr>
      <w:r>
        <w:rPr>
          <w:rFonts w:hint="eastAsia" w:ascii="宋体" w:hAnsi="宋体" w:eastAsia="宋体"/>
          <w:color w:val="000000"/>
          <w:sz w:val="24"/>
        </w:rPr>
        <w:t>数据库数据可能会丢失。</w:t>
      </w:r>
    </w:p>
    <w:p>
      <w:pPr>
        <w:spacing w:line="360" w:lineRule="auto"/>
        <w:ind w:firstLine="480" w:firstLineChars="200"/>
        <w:rPr>
          <w:rFonts w:ascii="宋体" w:hAnsi="宋体" w:eastAsia="宋体"/>
          <w:color w:val="000000"/>
          <w:sz w:val="24"/>
        </w:rPr>
      </w:pPr>
      <w:r>
        <w:rPr>
          <w:rFonts w:hint="eastAsia" w:ascii="宋体" w:hAnsi="宋体" w:eastAsia="宋体"/>
          <w:color w:val="000000"/>
          <w:sz w:val="24"/>
        </w:rPr>
        <w:t>鉴于以上风险，被测单位应提前做好各项数据、设备和系统的备份工作和应急响应工作。并请被测单位派遣人员全程陪同进行机房和信息系统以及渗透测评相关工作。</w:t>
      </w:r>
    </w:p>
    <w:p>
      <w:pPr>
        <w:spacing w:after="100" w:afterAutospacing="1" w:line="360" w:lineRule="auto"/>
        <w:ind w:firstLine="480" w:firstLineChars="200"/>
        <w:rPr>
          <w:rFonts w:ascii="宋体" w:hAnsi="宋体" w:eastAsia="宋体" w:cs="仿宋_GB2312"/>
          <w:color w:val="000000"/>
          <w:sz w:val="24"/>
          <w:szCs w:val="24"/>
        </w:rPr>
      </w:pPr>
    </w:p>
    <w:p>
      <w:pPr>
        <w:spacing w:line="360" w:lineRule="auto"/>
        <w:rPr>
          <w:rFonts w:ascii="宋体" w:hAnsi="宋体" w:eastAsia="宋体"/>
          <w:bCs/>
          <w:color w:val="000000"/>
          <w:sz w:val="24"/>
          <w:szCs w:val="24"/>
        </w:rPr>
      </w:pPr>
    </w:p>
    <w:p>
      <w:pPr>
        <w:rPr>
          <w:rFonts w:ascii="宋体" w:hAnsi="宋体" w:eastAsia="宋体" w:cs="仿宋_GB2312"/>
          <w:color w:val="000000"/>
          <w:sz w:val="24"/>
          <w:szCs w:val="24"/>
        </w:rPr>
      </w:pPr>
      <w:r>
        <w:rPr>
          <w:rFonts w:hint="eastAsia" w:ascii="宋体" w:hAnsi="宋体" w:eastAsia="宋体" w:cs="仿宋_GB2312"/>
          <w:color w:val="000000"/>
          <w:sz w:val="24"/>
          <w:szCs w:val="24"/>
        </w:rPr>
        <w:t>甲方：</w:t>
      </w:r>
      <w:r>
        <w:rPr>
          <w:rFonts w:hint="eastAsia" w:ascii="宋体" w:hAnsi="宋体" w:eastAsia="宋体"/>
          <w:color w:val="000000"/>
          <w:sz w:val="24"/>
          <w:lang w:val="en-US" w:eastAsia="zh-CN"/>
        </w:rPr>
        <w:t xml:space="preserve">     </w:t>
      </w:r>
      <w:r>
        <w:rPr>
          <w:rFonts w:hint="eastAsia" w:ascii="宋体" w:hAnsi="宋体" w:eastAsia="宋体" w:cs="仿宋_GB2312"/>
          <w:color w:val="000000"/>
          <w:sz w:val="24"/>
          <w:szCs w:val="24"/>
        </w:rPr>
        <w:t>（盖章）</w:t>
      </w:r>
    </w:p>
    <w:p>
      <w:pPr>
        <w:rPr>
          <w:rFonts w:ascii="宋体" w:hAnsi="宋体" w:eastAsia="宋体"/>
          <w:color w:val="000000"/>
          <w:sz w:val="24"/>
          <w:szCs w:val="24"/>
        </w:rPr>
      </w:pPr>
      <w:r>
        <w:rPr>
          <w:rFonts w:hint="eastAsia" w:ascii="宋体" w:hAnsi="宋体" w:eastAsia="宋体" w:cs="仿宋_GB2312"/>
          <w:color w:val="000000"/>
          <w:sz w:val="24"/>
          <w:szCs w:val="24"/>
        </w:rPr>
        <w:t xml:space="preserve">                     </w:t>
      </w:r>
    </w:p>
    <w:p>
      <w:pPr>
        <w:rPr>
          <w:rFonts w:ascii="宋体" w:hAnsi="宋体" w:eastAsia="宋体"/>
          <w:color w:val="000000"/>
          <w:sz w:val="24"/>
          <w:szCs w:val="24"/>
        </w:rPr>
      </w:pPr>
    </w:p>
    <w:p>
      <w:pPr>
        <w:rPr>
          <w:rFonts w:ascii="宋体" w:hAnsi="宋体" w:eastAsia="宋体" w:cs="仿宋_GB2312"/>
          <w:color w:val="000000"/>
          <w:sz w:val="24"/>
          <w:szCs w:val="24"/>
        </w:rPr>
      </w:pPr>
      <w:r>
        <w:rPr>
          <w:rFonts w:hint="eastAsia" w:ascii="宋体" w:hAnsi="宋体" w:eastAsia="宋体" w:cs="仿宋_GB2312"/>
          <w:color w:val="000000"/>
          <w:sz w:val="24"/>
          <w:szCs w:val="24"/>
        </w:rPr>
        <w:t xml:space="preserve">日期：        年    月    日         </w:t>
      </w:r>
    </w:p>
    <w:p>
      <w:pPr>
        <w:rPr>
          <w:rFonts w:ascii="宋体" w:hAnsi="宋体" w:eastAsia="宋体"/>
          <w:color w:val="000000"/>
          <w:sz w:val="24"/>
          <w:szCs w:val="24"/>
        </w:rPr>
      </w:pPr>
      <w:r>
        <w:rPr>
          <w:rFonts w:hint="eastAsia" w:ascii="宋体" w:hAnsi="宋体" w:eastAsia="宋体" w:cs="仿宋_GB2312"/>
          <w:color w:val="000000"/>
          <w:sz w:val="24"/>
          <w:szCs w:val="24"/>
        </w:rPr>
        <w:t xml:space="preserve">       </w:t>
      </w:r>
    </w:p>
    <w:p>
      <w:pPr>
        <w:rPr>
          <w:rFonts w:ascii="宋体" w:hAnsi="宋体" w:eastAsia="宋体"/>
          <w:color w:val="000000"/>
          <w:sz w:val="24"/>
          <w:szCs w:val="24"/>
        </w:rPr>
      </w:pPr>
    </w:p>
    <w:p>
      <w:pPr>
        <w:rPr>
          <w:rFonts w:ascii="宋体" w:hAnsi="宋体" w:eastAsia="宋体"/>
          <w:color w:val="000000"/>
          <w:sz w:val="24"/>
          <w:szCs w:val="24"/>
        </w:rPr>
      </w:pPr>
    </w:p>
    <w:p>
      <w:pPr>
        <w:ind w:left="5520" w:hanging="5520" w:hangingChars="2300"/>
        <w:rPr>
          <w:rFonts w:ascii="宋体" w:hAnsi="宋体" w:eastAsia="宋体"/>
          <w:color w:val="000000"/>
          <w:sz w:val="24"/>
          <w:szCs w:val="24"/>
        </w:rPr>
      </w:pPr>
      <w:r>
        <w:rPr>
          <w:rFonts w:hint="eastAsia" w:ascii="宋体" w:hAnsi="宋体" w:eastAsia="宋体" w:cs="仿宋_GB2312"/>
          <w:color w:val="000000"/>
          <w:sz w:val="24"/>
          <w:szCs w:val="24"/>
        </w:rPr>
        <w:t>乙方：</w:t>
      </w:r>
      <w:r>
        <w:rPr>
          <w:rFonts w:hint="eastAsia" w:ascii="宋体" w:hAnsi="宋体" w:eastAsia="宋体" w:cs="仿宋_GB2312"/>
          <w:color w:val="000000"/>
          <w:sz w:val="24"/>
          <w:szCs w:val="24"/>
          <w:lang w:val="en-US" w:eastAsia="zh-CN"/>
        </w:rPr>
        <w:t xml:space="preserve">          </w:t>
      </w:r>
      <w:r>
        <w:rPr>
          <w:rFonts w:hint="eastAsia" w:ascii="宋体" w:hAnsi="宋体" w:eastAsia="宋体" w:cs="仿宋_GB2312"/>
          <w:color w:val="000000"/>
          <w:sz w:val="24"/>
          <w:szCs w:val="24"/>
        </w:rPr>
        <w:t>（盖章）</w:t>
      </w:r>
    </w:p>
    <w:p>
      <w:pPr>
        <w:rPr>
          <w:rFonts w:ascii="宋体" w:hAnsi="宋体" w:eastAsia="宋体"/>
          <w:color w:val="000000"/>
          <w:sz w:val="24"/>
          <w:szCs w:val="24"/>
        </w:rPr>
      </w:pPr>
    </w:p>
    <w:p>
      <w:pPr>
        <w:rPr>
          <w:rFonts w:ascii="宋体" w:hAnsi="宋体" w:eastAsia="宋体"/>
          <w:color w:val="000000"/>
          <w:sz w:val="24"/>
          <w:szCs w:val="24"/>
        </w:rPr>
      </w:pPr>
      <w:r>
        <w:rPr>
          <w:rFonts w:hint="eastAsia" w:ascii="宋体" w:hAnsi="宋体" w:eastAsia="宋体" w:cs="仿宋_GB2312"/>
          <w:color w:val="000000"/>
          <w:sz w:val="24"/>
          <w:szCs w:val="24"/>
        </w:rPr>
        <w:t xml:space="preserve">                              </w:t>
      </w:r>
    </w:p>
    <w:p>
      <w:pPr>
        <w:rPr>
          <w:rFonts w:ascii="宋体" w:hAnsi="宋体" w:eastAsia="宋体"/>
          <w:color w:val="000000"/>
          <w:sz w:val="24"/>
          <w:szCs w:val="24"/>
        </w:rPr>
      </w:pPr>
    </w:p>
    <w:p>
      <w:pPr>
        <w:tabs>
          <w:tab w:val="left" w:pos="4732"/>
        </w:tabs>
        <w:jc w:val="left"/>
        <w:rPr>
          <w:ins w:id="0" w:author="user" w:date="2023-09-22T21:36:01Z"/>
          <w:rFonts w:ascii="宋体" w:hAnsi="宋体" w:eastAsia="宋体"/>
        </w:rPr>
      </w:pPr>
      <w:r>
        <w:rPr>
          <w:rFonts w:hint="eastAsia" w:ascii="宋体" w:hAnsi="宋体" w:eastAsia="宋体" w:cs="仿宋_GB2312"/>
          <w:color w:val="000000"/>
          <w:sz w:val="24"/>
          <w:szCs w:val="24"/>
        </w:rPr>
        <w:t xml:space="preserve">日期：        年    月    日   </w:t>
      </w:r>
      <w:bookmarkEnd w:id="55"/>
      <w:bookmarkEnd w:id="56"/>
    </w:p>
    <w:p>
      <w:pPr>
        <w:pStyle w:val="2"/>
        <w:rPr>
          <w:rFonts w:ascii="宋体" w:hAnsi="宋体" w:eastAsia="宋体"/>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行楷"/>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auto"/>
    <w:pitch w:val="default"/>
    <w:sig w:usb0="00000000" w:usb1="00000000" w:usb2="00000016" w:usb3="00000000" w:csb0="00040001" w:csb1="00000000"/>
  </w:font>
  <w:font w:name="等线 Light">
    <w:altName w:val="华文行楷"/>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书宋_GBK">
    <w:panose1 w:val="02000000000000000000"/>
    <w:charset w:val="86"/>
    <w:family w:val="auto"/>
    <w:pitch w:val="default"/>
    <w:sig w:usb0="00000001" w:usb1="08000000" w:usb2="00000000" w:usb3="00000000" w:csb0="00040000" w:csb1="00000000"/>
  </w:font>
  <w:font w:name="等线 Light">
    <w:altName w:val="汉仪仿宋S"/>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9937043"/>
    </w:sdtPr>
    <w:sdtContent>
      <w:p>
        <w:pPr>
          <w:pStyle w:val="8"/>
          <w:jc w:val="center"/>
        </w:pPr>
        <w:r>
          <w:fldChar w:fldCharType="begin"/>
        </w:r>
        <w:r>
          <w:instrText xml:space="preserve">PAGE   \* MERGEFORMAT</w:instrText>
        </w:r>
        <w:r>
          <w:fldChar w:fldCharType="separate"/>
        </w:r>
        <w:r>
          <w:rPr>
            <w:lang w:val="zh-CN"/>
          </w:rPr>
          <w:t>1</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4D6558"/>
    <w:multiLevelType w:val="multilevel"/>
    <w:tmpl w:val="114D6558"/>
    <w:lvl w:ilvl="0" w:tentative="0">
      <w:start w:val="1"/>
      <w:numFmt w:val="bullet"/>
      <w:lvlText w:val=""/>
      <w:lvlJc w:val="left"/>
      <w:pPr>
        <w:ind w:left="846" w:hanging="420"/>
      </w:pPr>
      <w:rPr>
        <w:rFonts w:hint="default" w:ascii="Wingdings" w:hAnsi="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1">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2">
    <w:nsid w:val="44565F62"/>
    <w:multiLevelType w:val="multilevel"/>
    <w:tmpl w:val="44565F62"/>
    <w:lvl w:ilvl="0" w:tentative="0">
      <w:start w:val="1"/>
      <w:numFmt w:val="decimal"/>
      <w:lvlText w:val="%1."/>
      <w:lvlJc w:val="left"/>
      <w:pPr>
        <w:ind w:left="840" w:hanging="360"/>
      </w:pPr>
      <w:rPr>
        <w:rFonts w:hint="eastAsia"/>
      </w:rPr>
    </w:lvl>
    <w:lvl w:ilvl="1" w:tentative="0">
      <w:start w:val="1"/>
      <w:numFmt w:val="lowerLetter"/>
      <w:lvlText w:val="%2)"/>
      <w:lvlJc w:val="left"/>
      <w:pPr>
        <w:ind w:left="1440" w:hanging="480"/>
      </w:pPr>
    </w:lvl>
    <w:lvl w:ilvl="2" w:tentative="0">
      <w:start w:val="1"/>
      <w:numFmt w:val="lowerRoman"/>
      <w:lvlText w:val="%3."/>
      <w:lvlJc w:val="right"/>
      <w:pPr>
        <w:ind w:left="1920" w:hanging="480"/>
      </w:pPr>
    </w:lvl>
    <w:lvl w:ilvl="3" w:tentative="0">
      <w:start w:val="1"/>
      <w:numFmt w:val="decimal"/>
      <w:lvlText w:val="%4."/>
      <w:lvlJc w:val="left"/>
      <w:pPr>
        <w:ind w:left="2400" w:hanging="480"/>
      </w:pPr>
    </w:lvl>
    <w:lvl w:ilvl="4" w:tentative="0">
      <w:start w:val="1"/>
      <w:numFmt w:val="lowerLetter"/>
      <w:lvlText w:val="%5)"/>
      <w:lvlJc w:val="left"/>
      <w:pPr>
        <w:ind w:left="2880" w:hanging="480"/>
      </w:pPr>
    </w:lvl>
    <w:lvl w:ilvl="5" w:tentative="0">
      <w:start w:val="1"/>
      <w:numFmt w:val="lowerRoman"/>
      <w:lvlText w:val="%6."/>
      <w:lvlJc w:val="right"/>
      <w:pPr>
        <w:ind w:left="3360" w:hanging="480"/>
      </w:pPr>
    </w:lvl>
    <w:lvl w:ilvl="6" w:tentative="0">
      <w:start w:val="1"/>
      <w:numFmt w:val="decimal"/>
      <w:lvlText w:val="%7."/>
      <w:lvlJc w:val="left"/>
      <w:pPr>
        <w:ind w:left="3840" w:hanging="480"/>
      </w:pPr>
    </w:lvl>
    <w:lvl w:ilvl="7" w:tentative="0">
      <w:start w:val="1"/>
      <w:numFmt w:val="lowerLetter"/>
      <w:lvlText w:val="%8)"/>
      <w:lvlJc w:val="left"/>
      <w:pPr>
        <w:ind w:left="4320" w:hanging="480"/>
      </w:pPr>
    </w:lvl>
    <w:lvl w:ilvl="8" w:tentative="0">
      <w:start w:val="1"/>
      <w:numFmt w:val="lowerRoman"/>
      <w:lvlText w:val="%9."/>
      <w:lvlJc w:val="right"/>
      <w:pPr>
        <w:ind w:left="4800" w:hanging="480"/>
      </w:pPr>
    </w:lvl>
  </w:abstractNum>
  <w:abstractNum w:abstractNumId="3">
    <w:nsid w:val="510875D2"/>
    <w:multiLevelType w:val="multilevel"/>
    <w:tmpl w:val="510875D2"/>
    <w:lvl w:ilvl="0" w:tentative="0">
      <w:start w:val="1"/>
      <w:numFmt w:val="decimal"/>
      <w:lvlText w:val="%1."/>
      <w:lvlJc w:val="left"/>
      <w:pPr>
        <w:ind w:left="420" w:hanging="420"/>
      </w:pPr>
    </w:lvl>
    <w:lvl w:ilvl="1" w:tentative="0">
      <w:start w:val="1"/>
      <w:numFmt w:val="lowerLetter"/>
      <w:pStyle w:val="18"/>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E806F55"/>
    <w:multiLevelType w:val="multilevel"/>
    <w:tmpl w:val="6E806F55"/>
    <w:lvl w:ilvl="0" w:tentative="0">
      <w:start w:val="1"/>
      <w:numFmt w:val="chineseCountingThousand"/>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0"/>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zYjYyYWQ5MTBjOWQ3MmMxZjk2NzhiYTcxMmQ0NGEifQ=="/>
  </w:docVars>
  <w:rsids>
    <w:rsidRoot w:val="00042196"/>
    <w:rsid w:val="00042196"/>
    <w:rsid w:val="000A02E5"/>
    <w:rsid w:val="000B4EA8"/>
    <w:rsid w:val="0010632A"/>
    <w:rsid w:val="00110F4B"/>
    <w:rsid w:val="00126936"/>
    <w:rsid w:val="00167C90"/>
    <w:rsid w:val="00182B48"/>
    <w:rsid w:val="00202326"/>
    <w:rsid w:val="00207ABB"/>
    <w:rsid w:val="00250DE7"/>
    <w:rsid w:val="00265813"/>
    <w:rsid w:val="002763F4"/>
    <w:rsid w:val="0029733D"/>
    <w:rsid w:val="002C2892"/>
    <w:rsid w:val="002D6285"/>
    <w:rsid w:val="003263C8"/>
    <w:rsid w:val="00350A77"/>
    <w:rsid w:val="00375A82"/>
    <w:rsid w:val="0039393A"/>
    <w:rsid w:val="003A01BF"/>
    <w:rsid w:val="003A37F2"/>
    <w:rsid w:val="003A397C"/>
    <w:rsid w:val="003A4264"/>
    <w:rsid w:val="00454095"/>
    <w:rsid w:val="00486D90"/>
    <w:rsid w:val="004C01BC"/>
    <w:rsid w:val="004D7E5F"/>
    <w:rsid w:val="00507EF2"/>
    <w:rsid w:val="005112D5"/>
    <w:rsid w:val="00594D16"/>
    <w:rsid w:val="00667780"/>
    <w:rsid w:val="00676C00"/>
    <w:rsid w:val="006826F6"/>
    <w:rsid w:val="00731323"/>
    <w:rsid w:val="007818DC"/>
    <w:rsid w:val="007E0761"/>
    <w:rsid w:val="00813812"/>
    <w:rsid w:val="00822E08"/>
    <w:rsid w:val="008669B5"/>
    <w:rsid w:val="008A2FF6"/>
    <w:rsid w:val="008D1EA4"/>
    <w:rsid w:val="009120BA"/>
    <w:rsid w:val="00913C43"/>
    <w:rsid w:val="009C6F48"/>
    <w:rsid w:val="00A27013"/>
    <w:rsid w:val="00A35AC2"/>
    <w:rsid w:val="00A44570"/>
    <w:rsid w:val="00AB5CB7"/>
    <w:rsid w:val="00AE7CC4"/>
    <w:rsid w:val="00B94138"/>
    <w:rsid w:val="00BE7C52"/>
    <w:rsid w:val="00C86D6C"/>
    <w:rsid w:val="00C95128"/>
    <w:rsid w:val="00CF7C6B"/>
    <w:rsid w:val="00D77DA7"/>
    <w:rsid w:val="00DB2201"/>
    <w:rsid w:val="00DB6EBD"/>
    <w:rsid w:val="00DF4026"/>
    <w:rsid w:val="00E57650"/>
    <w:rsid w:val="00EB262D"/>
    <w:rsid w:val="00F15A69"/>
    <w:rsid w:val="00F30A9C"/>
    <w:rsid w:val="00F9055D"/>
    <w:rsid w:val="00FB68E8"/>
    <w:rsid w:val="00FC68F3"/>
    <w:rsid w:val="00FC7FCA"/>
    <w:rsid w:val="03A013D6"/>
    <w:rsid w:val="049D4FAE"/>
    <w:rsid w:val="252043B8"/>
    <w:rsid w:val="2BC4035D"/>
    <w:rsid w:val="34CA77B1"/>
    <w:rsid w:val="396D7F3E"/>
    <w:rsid w:val="3A9C2955"/>
    <w:rsid w:val="3F7FA035"/>
    <w:rsid w:val="486B4999"/>
    <w:rsid w:val="48B516DC"/>
    <w:rsid w:val="4E622B2E"/>
    <w:rsid w:val="53D46998"/>
    <w:rsid w:val="59A2331D"/>
    <w:rsid w:val="5AA4622B"/>
    <w:rsid w:val="5DFE30FB"/>
    <w:rsid w:val="603B630B"/>
    <w:rsid w:val="617E7934"/>
    <w:rsid w:val="63AB3CE7"/>
    <w:rsid w:val="6E5042A8"/>
    <w:rsid w:val="6EC36D21"/>
    <w:rsid w:val="77793DF1"/>
    <w:rsid w:val="7D3B4375"/>
    <w:rsid w:val="7E6347C7"/>
    <w:rsid w:val="7EFF820C"/>
    <w:rsid w:val="EFFEF533"/>
    <w:rsid w:val="FD7F8614"/>
    <w:rsid w:val="FF7F87F5"/>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keepNext/>
      <w:keepLines/>
      <w:spacing w:before="340" w:after="330" w:line="578" w:lineRule="auto"/>
      <w:jc w:val="center"/>
      <w:outlineLvl w:val="0"/>
    </w:pPr>
    <w:rPr>
      <w:rFonts w:eastAsia="仿宋"/>
      <w:b/>
      <w:bCs/>
      <w:kern w:val="44"/>
      <w:sz w:val="36"/>
      <w:szCs w:val="44"/>
    </w:rPr>
  </w:style>
  <w:style w:type="paragraph" w:styleId="4">
    <w:name w:val="heading 2"/>
    <w:basedOn w:val="1"/>
    <w:next w:val="1"/>
    <w:link w:val="14"/>
    <w:unhideWhenUsed/>
    <w:qFormat/>
    <w:uiPriority w:val="0"/>
    <w:pPr>
      <w:keepNext/>
      <w:keepLines/>
      <w:spacing w:before="260" w:after="260" w:line="416" w:lineRule="auto"/>
      <w:outlineLvl w:val="1"/>
    </w:pPr>
    <w:rPr>
      <w:rFonts w:eastAsia="仿宋" w:asciiTheme="majorHAnsi" w:hAnsiTheme="majorHAnsi" w:cstheme="majorBidi"/>
      <w:b/>
      <w:bCs/>
      <w:kern w:val="0"/>
      <w:sz w:val="28"/>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9"/>
    <w:semiHidden/>
    <w:unhideWhenUsed/>
    <w:qFormat/>
    <w:uiPriority w:val="99"/>
    <w:pPr>
      <w:spacing w:after="120"/>
    </w:pPr>
  </w:style>
  <w:style w:type="paragraph" w:styleId="5">
    <w:name w:val="annotation text"/>
    <w:basedOn w:val="1"/>
    <w:link w:val="22"/>
    <w:semiHidden/>
    <w:unhideWhenUsed/>
    <w:qFormat/>
    <w:uiPriority w:val="99"/>
    <w:pPr>
      <w:jc w:val="left"/>
    </w:pPr>
  </w:style>
  <w:style w:type="paragraph" w:styleId="6">
    <w:name w:val="Body Text Indent"/>
    <w:basedOn w:val="1"/>
    <w:link w:val="15"/>
    <w:qFormat/>
    <w:uiPriority w:val="0"/>
    <w:pPr>
      <w:spacing w:after="120"/>
      <w:ind w:left="420" w:leftChars="200"/>
    </w:pPr>
    <w:rPr>
      <w:rFonts w:ascii="Times New Roman" w:hAnsi="Times New Roman" w:eastAsia="宋体" w:cs="Times New Roman"/>
      <w:szCs w:val="24"/>
    </w:rPr>
  </w:style>
  <w:style w:type="paragraph" w:styleId="7">
    <w:name w:val="Balloon Text"/>
    <w:basedOn w:val="1"/>
    <w:link w:val="21"/>
    <w:semiHidden/>
    <w:unhideWhenUsed/>
    <w:qFormat/>
    <w:uiPriority w:val="99"/>
    <w:rPr>
      <w:rFonts w:ascii="宋体" w:eastAsia="宋体"/>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annotation subject"/>
    <w:basedOn w:val="5"/>
    <w:next w:val="5"/>
    <w:link w:val="23"/>
    <w:semiHidden/>
    <w:unhideWhenUsed/>
    <w:qFormat/>
    <w:uiPriority w:val="99"/>
    <w:rPr>
      <w:b/>
      <w:bCs/>
    </w:rPr>
  </w:style>
  <w:style w:type="character" w:styleId="12">
    <w:name w:val="annotation reference"/>
    <w:basedOn w:val="11"/>
    <w:semiHidden/>
    <w:unhideWhenUsed/>
    <w:qFormat/>
    <w:uiPriority w:val="99"/>
    <w:rPr>
      <w:sz w:val="21"/>
      <w:szCs w:val="21"/>
    </w:rPr>
  </w:style>
  <w:style w:type="character" w:customStyle="1" w:styleId="13">
    <w:name w:val="标题 1字符"/>
    <w:basedOn w:val="11"/>
    <w:link w:val="3"/>
    <w:qFormat/>
    <w:uiPriority w:val="9"/>
    <w:rPr>
      <w:rFonts w:eastAsia="仿宋"/>
      <w:b/>
      <w:bCs/>
      <w:kern w:val="44"/>
      <w:sz w:val="36"/>
      <w:szCs w:val="44"/>
    </w:rPr>
  </w:style>
  <w:style w:type="character" w:customStyle="1" w:styleId="14">
    <w:name w:val="标题 2字符"/>
    <w:basedOn w:val="11"/>
    <w:link w:val="4"/>
    <w:qFormat/>
    <w:uiPriority w:val="0"/>
    <w:rPr>
      <w:rFonts w:eastAsia="仿宋" w:asciiTheme="majorHAnsi" w:hAnsiTheme="majorHAnsi" w:cstheme="majorBidi"/>
      <w:b/>
      <w:bCs/>
      <w:kern w:val="0"/>
      <w:sz w:val="28"/>
      <w:szCs w:val="32"/>
    </w:rPr>
  </w:style>
  <w:style w:type="character" w:customStyle="1" w:styleId="15">
    <w:name w:val="正文文本缩进字符"/>
    <w:basedOn w:val="11"/>
    <w:link w:val="6"/>
    <w:qFormat/>
    <w:uiPriority w:val="0"/>
    <w:rPr>
      <w:rFonts w:ascii="Times New Roman" w:hAnsi="Times New Roman" w:eastAsia="宋体" w:cs="Times New Roman"/>
      <w:szCs w:val="24"/>
    </w:rPr>
  </w:style>
  <w:style w:type="character" w:customStyle="1" w:styleId="16">
    <w:name w:val="页脚字符"/>
    <w:basedOn w:val="11"/>
    <w:link w:val="8"/>
    <w:qFormat/>
    <w:uiPriority w:val="99"/>
    <w:rPr>
      <w:sz w:val="18"/>
      <w:szCs w:val="18"/>
    </w:rPr>
  </w:style>
  <w:style w:type="paragraph" w:customStyle="1" w:styleId="17">
    <w:name w:val="p0"/>
    <w:basedOn w:val="1"/>
    <w:qFormat/>
    <w:uiPriority w:val="99"/>
    <w:pPr>
      <w:widowControl/>
    </w:pPr>
    <w:rPr>
      <w:rFonts w:ascii="Times New Roman" w:hAnsi="Times New Roman" w:eastAsia="宋体" w:cs="Times New Roman"/>
      <w:szCs w:val="21"/>
    </w:rPr>
  </w:style>
  <w:style w:type="paragraph" w:customStyle="1" w:styleId="18">
    <w:name w:val="样式"/>
    <w:qFormat/>
    <w:uiPriority w:val="0"/>
    <w:pPr>
      <w:widowControl w:val="0"/>
      <w:numPr>
        <w:ilvl w:val="1"/>
        <w:numId w:val="1"/>
      </w:numPr>
      <w:autoSpaceDE w:val="0"/>
      <w:autoSpaceDN w:val="0"/>
      <w:adjustRightInd w:val="0"/>
    </w:pPr>
    <w:rPr>
      <w:rFonts w:ascii="宋体" w:hAnsi="宋体" w:eastAsia="宋体" w:cs="宋体"/>
      <w:sz w:val="24"/>
      <w:szCs w:val="24"/>
      <w:lang w:val="en-US" w:eastAsia="zh-CN" w:bidi="ar-SA"/>
    </w:rPr>
  </w:style>
  <w:style w:type="character" w:customStyle="1" w:styleId="19">
    <w:name w:val="正文文本字符"/>
    <w:basedOn w:val="11"/>
    <w:link w:val="2"/>
    <w:semiHidden/>
    <w:qFormat/>
    <w:uiPriority w:val="99"/>
    <w:rPr>
      <w:kern w:val="2"/>
      <w:sz w:val="21"/>
      <w:szCs w:val="22"/>
    </w:rPr>
  </w:style>
  <w:style w:type="paragraph" w:styleId="20">
    <w:name w:val="List Paragraph"/>
    <w:basedOn w:val="1"/>
    <w:unhideWhenUsed/>
    <w:qFormat/>
    <w:uiPriority w:val="99"/>
    <w:pPr>
      <w:ind w:firstLine="420" w:firstLineChars="200"/>
    </w:pPr>
  </w:style>
  <w:style w:type="character" w:customStyle="1" w:styleId="21">
    <w:name w:val="批注框文本字符"/>
    <w:basedOn w:val="11"/>
    <w:link w:val="7"/>
    <w:semiHidden/>
    <w:qFormat/>
    <w:uiPriority w:val="99"/>
    <w:rPr>
      <w:rFonts w:ascii="宋体" w:eastAsia="宋体"/>
      <w:kern w:val="2"/>
      <w:sz w:val="18"/>
      <w:szCs w:val="18"/>
    </w:rPr>
  </w:style>
  <w:style w:type="character" w:customStyle="1" w:styleId="22">
    <w:name w:val="批注文字字符"/>
    <w:basedOn w:val="11"/>
    <w:link w:val="5"/>
    <w:semiHidden/>
    <w:qFormat/>
    <w:uiPriority w:val="99"/>
    <w:rPr>
      <w:kern w:val="2"/>
      <w:sz w:val="21"/>
      <w:szCs w:val="22"/>
    </w:rPr>
  </w:style>
  <w:style w:type="character" w:customStyle="1" w:styleId="23">
    <w:name w:val="批注主题字符"/>
    <w:basedOn w:val="22"/>
    <w:link w:val="9"/>
    <w:semiHidden/>
    <w:qFormat/>
    <w:uiPriority w:val="99"/>
    <w:rPr>
      <w:b/>
      <w:bCs/>
      <w:kern w:val="2"/>
      <w:sz w:val="21"/>
      <w:szCs w:val="2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1340</Words>
  <Characters>7640</Characters>
  <Lines>63</Lines>
  <Paragraphs>17</Paragraphs>
  <TotalTime>4</TotalTime>
  <ScaleCrop>false</ScaleCrop>
  <LinksUpToDate>false</LinksUpToDate>
  <CharactersWithSpaces>8963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2023-08-17T15:39:00Z</dcterms:created>
  <dc:creator>ADMINI</dc:creator>
  <cp:lastModifiedBy>user</cp:lastModifiedBy>
  <cp:lastPrinted>2023-09-14T03:06:00Z</cp:lastPrinted>
  <dcterms:modified xsi:type="dcterms:W3CDTF">2023-09-22T21:38:07Z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9B49E1D6F7C0B4F1EAB7FF641D2AE4C9</vt:lpwstr>
  </property>
</Properties>
</file>